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B3" w:rsidRPr="0049409F" w:rsidRDefault="00756210" w:rsidP="005845B3">
      <w:pPr>
        <w:spacing w:after="0" w:line="360" w:lineRule="auto"/>
        <w:ind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Bodoni MT" w:eastAsia="Times New Roman" w:hAnsi="Bodoni MT" w:cs="Times New Roman"/>
          <w:sz w:val="24"/>
          <w:szCs w:val="24"/>
          <w:lang w:eastAsia="it-IT"/>
        </w:rPr>
        <w:t>Del. n. 400</w:t>
      </w:r>
      <w:r w:rsidR="005845B3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/2015/PAR</w:t>
      </w:r>
    </w:p>
    <w:p w:rsidR="005845B3" w:rsidRPr="0049409F" w:rsidRDefault="005845B3" w:rsidP="005845B3">
      <w:pPr>
        <w:spacing w:after="0" w:line="360" w:lineRule="auto"/>
        <w:ind w:left="180" w:right="98" w:firstLine="540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72.5pt" o:ole="">
            <v:imagedata r:id="rId8" o:title=""/>
          </v:shape>
          <o:OLEObject Type="Embed" ProgID="Word.Picture.8" ShapeID="_x0000_i1025" DrawAspect="Content" ObjectID="_1505713407" r:id="rId9"/>
        </w:object>
      </w:r>
    </w:p>
    <w:p w:rsidR="005845B3" w:rsidRPr="0049409F" w:rsidRDefault="005845B3" w:rsidP="005845B3">
      <w:pPr>
        <w:spacing w:after="0" w:line="360" w:lineRule="auto"/>
        <w:ind w:left="1416" w:right="96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5845B3" w:rsidRPr="0049409F" w:rsidRDefault="000C47FF" w:rsidP="00C2666F">
      <w:pPr>
        <w:spacing w:before="120" w:after="120" w:line="360" w:lineRule="auto"/>
        <w:ind w:left="284" w:right="96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composta dai </w:t>
      </w:r>
      <w:r w:rsidR="005845B3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magistrati:</w:t>
      </w:r>
    </w:p>
    <w:p w:rsidR="005845B3" w:rsidRPr="0049409F" w:rsidRDefault="005845B3" w:rsidP="004D0D5A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Roberto </w:t>
      </w:r>
      <w:r w:rsidR="00E97B7F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TABBITA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:rsidR="005845B3" w:rsidRPr="0049409F" w:rsidRDefault="005845B3" w:rsidP="004D0D5A">
      <w:pPr>
        <w:spacing w:after="0" w:line="360" w:lineRule="auto"/>
        <w:ind w:left="284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5845B3" w:rsidRPr="0049409F" w:rsidRDefault="005845B3" w:rsidP="004D0D5A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5845B3" w:rsidRPr="0049409F" w:rsidRDefault="005845B3" w:rsidP="004D0D5A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5845B3" w:rsidRPr="0049409F" w:rsidRDefault="0049409F" w:rsidP="004D0D5A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845B3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consigliere, relatore</w:t>
      </w:r>
    </w:p>
    <w:p w:rsidR="005845B3" w:rsidRPr="0049409F" w:rsidRDefault="005845B3" w:rsidP="004D0D5A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5845B3" w:rsidRPr="0049409F" w:rsidRDefault="00A2546D" w:rsidP="0049409F">
      <w:pPr>
        <w:spacing w:before="120" w:after="120" w:line="360" w:lineRule="auto"/>
        <w:ind w:left="712" w:hanging="42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nell’adunanza del 6 ottobre </w:t>
      </w:r>
      <w:r w:rsidR="005845B3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2015,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Year" w:val="2001"/>
          <w:attr w:name="Day" w:val="18"/>
          <w:attr w:name="Month" w:val="10"/>
          <w:attr w:name="ls" w:val="trans"/>
        </w:smartTagPr>
        <w:r w:rsidRPr="0049409F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regolamento (14/2000) per l’organizzazione delle funzioni di controllo della Corte dei conti, deliberato dalle Sezioni riunite della Corte dei conti in data 16 giugno 2000 e successive modifiche; 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UDITO il relatore, cons. Laura d’Ambrosio;</w:t>
      </w:r>
    </w:p>
    <w:p w:rsidR="005845B3" w:rsidRPr="0049409F" w:rsidRDefault="005845B3" w:rsidP="00C2666F">
      <w:pPr>
        <w:spacing w:before="120" w:after="120" w:line="360" w:lineRule="auto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comune di </w:t>
      </w:r>
      <w:r w:rsidR="00214B0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Poggio a Cai</w:t>
      </w:r>
      <w:r w:rsidR="00FC7D93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 w:rsidR="00214B0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no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A70A1D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 mezzo del Consiglio delle a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utonomie</w:t>
      </w:r>
      <w:r w:rsidR="00A70A1D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locali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, sot</w:t>
      </w:r>
      <w:r w:rsidR="00214B0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topone il seguente quesito:</w:t>
      </w:r>
    </w:p>
    <w:p w:rsidR="00214B04" w:rsidRPr="0049409F" w:rsidRDefault="00214B04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In occasione del pensionamento del Ragioniere generale</w:t>
      </w:r>
      <w:r w:rsidR="00A20BF5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del responsabile del servizio del personale 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 chiede di sapere se all’eventuale assunzione siano applicabili le previsioni dell’art. 4 del d.l. 78/2015 (convertito con legge 125/2015) </w:t>
      </w:r>
      <w:r w:rsidR="00A2488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procedendo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preliminarmente la ricollocazione del personale delle Province</w:t>
      </w:r>
      <w:r w:rsidR="00A2488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soprannumerario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5845B3" w:rsidRPr="0049409F" w:rsidRDefault="005845B3" w:rsidP="00C2666F">
      <w:pPr>
        <w:spacing w:before="120" w:after="120" w:line="360" w:lineRule="auto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via preliminare, è necessario procedere </w:t>
      </w:r>
      <w:r w:rsidR="00A70A1D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ad accertare la sussistenza dei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presupposti legittimanti la proposizione del parere, sia a livello soggettivo che oggettivo.</w:t>
      </w:r>
    </w:p>
    <w:p w:rsidR="0004387A" w:rsidRPr="0049409F" w:rsidRDefault="004C34C7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riguardo all’ambito di legittimazione soggettiva, la richiesta risulta correttamente inoltrata, in quanto formulata dall’organo politico di vertice e rappresentante legale dell’ente, ai sensi dell’art. 50 Tuel, per </w:t>
      </w:r>
      <w:r w:rsidR="002F15F2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il tramite del Consiglio delle a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utonomie</w:t>
      </w:r>
      <w:r w:rsidR="002F15F2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locali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214B0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22740D" w:rsidRPr="0049409F" w:rsidRDefault="0004387A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Il quesito è inoltre, ammissibile da un punto di visto oggettivo in quanto riferibile, in via generale, alla materia della contabilità pubblica ed, in particolare, all’applicazione delle disposizioni sul contenimento della spesa del personale</w:t>
      </w:r>
      <w:r w:rsidR="00214B0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EE47C8" w:rsidRPr="0049409F" w:rsidRDefault="00EE47C8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Nel merito</w:t>
      </w:r>
      <w:r w:rsidR="00214B0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, si ritiene utile richiamare la deliberazione n.19/2015 della Sezione del</w:t>
      </w:r>
      <w:r w:rsidR="00CC744C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le Autonom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ie che specificamente si riferi</w:t>
      </w:r>
      <w:r w:rsidR="00CC744C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sce al comma oggetto del quesito.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Tuttavia, </w:t>
      </w:r>
      <w:r w:rsidR="00A20BF5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comma </w:t>
      </w:r>
      <w:r w:rsidR="0004387A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stesso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(comma </w:t>
      </w:r>
      <w:r w:rsidR="00A20BF5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424 della legge di stabilità 2015) 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è stato modificato, qualche giorno dopo la delibera della Sezione, dal decreto 78/2015 in sede di conversione. </w:t>
      </w:r>
    </w:p>
    <w:p w:rsidR="00EE47C8" w:rsidRPr="0049409F" w:rsidRDefault="00EE47C8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La Sezione delle Autonomie rinveniva una possibilità di deroga alle disposizioni sulle assunzioni in casi di “</w:t>
      </w:r>
      <w:r w:rsidRPr="0049409F">
        <w:rPr>
          <w:rFonts w:ascii="Bodoni MT" w:eastAsia="Times New Roman" w:hAnsi="Bodoni MT" w:cs="Times New Roman"/>
          <w:i/>
          <w:sz w:val="24"/>
          <w:szCs w:val="24"/>
          <w:lang w:eastAsia="it-IT"/>
        </w:rPr>
        <w:t>specifica e legalmente qualificata professionalità, eventualmente attestata da titoli di studio precisamente individuati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” mentre la legge prevede la deroga per quel personale “</w:t>
      </w:r>
      <w:r w:rsidRPr="0049409F">
        <w:rPr>
          <w:rFonts w:ascii="Bodoni MT" w:eastAsia="Times New Roman" w:hAnsi="Bodoni MT" w:cs="Times New Roman"/>
          <w:i/>
          <w:sz w:val="24"/>
          <w:szCs w:val="24"/>
          <w:lang w:eastAsia="it-IT"/>
        </w:rPr>
        <w:t>in possesso di titoli di studio specifici abilitanti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”. </w:t>
      </w:r>
    </w:p>
    <w:p w:rsidR="00EE47C8" w:rsidRPr="0049409F" w:rsidRDefault="00EE47C8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Perciò, allo stato attuale della normativa, in presenza di esigenze di assumere personale “</w:t>
      </w:r>
      <w:r w:rsidRPr="0049409F">
        <w:rPr>
          <w:rFonts w:ascii="Bodoni MT" w:eastAsia="Times New Roman" w:hAnsi="Bodoni MT" w:cs="Times New Roman"/>
          <w:i/>
          <w:sz w:val="24"/>
          <w:szCs w:val="24"/>
          <w:lang w:eastAsia="it-IT"/>
        </w:rPr>
        <w:t>in possesso di titoli di studio specifici abilitanti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” si può derogare all’obbligo di assumere personale </w:t>
      </w:r>
      <w:r w:rsidR="00A20BF5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soprannumerario </w:t>
      </w:r>
      <w:r w:rsidR="0004387A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delle P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rovince. </w:t>
      </w:r>
    </w:p>
    <w:p w:rsidR="00EE47C8" w:rsidRPr="0049409F" w:rsidRDefault="00EE47C8" w:rsidP="00EE47C8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Occorre quindi determinare se il caso specifico rientri nel</w:t>
      </w:r>
      <w:r w:rsidR="00A20BF5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previsione derogatoria. </w:t>
      </w:r>
    </w:p>
    <w:p w:rsidR="00A20BF5" w:rsidRPr="0049409F" w:rsidRDefault="00A20BF5" w:rsidP="00EE47C8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La richiesta verte sull’assunzione del Ragioniere generale del comune e il responsabile del servizio del personale. In entrambi i casi non appare necessaria la sussistenza di uno specifico titolo</w:t>
      </w:r>
      <w:r w:rsidR="00BC3438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studio abilitante; infatti, 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anche da un punto di vista concreto</w:t>
      </w:r>
      <w:r w:rsidR="00BC3438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le due posizioni vengono ricoperte in genere da laureati in economia o giurisprudenza, ma anche da diplomati e personale in possesso di requisiti di specifica esperienza, </w:t>
      </w:r>
      <w:r w:rsidR="00BC3438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in assenza di una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abilitazione professionale.</w:t>
      </w:r>
    </w:p>
    <w:p w:rsidR="00A20BF5" w:rsidRPr="0049409F" w:rsidRDefault="00A20BF5" w:rsidP="00EE47C8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Pertanto, non si ritiene che il Comune richiedente possa superare l’obbligo di avvalersi, in via prioritaria, del p</w:t>
      </w:r>
      <w:r w:rsidR="00BC3438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ersonale soprannumerario delle P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rovince. </w:t>
      </w:r>
    </w:p>
    <w:p w:rsidR="005845B3" w:rsidRPr="0049409F" w:rsidRDefault="005845B3" w:rsidP="00C2666F">
      <w:pPr>
        <w:spacing w:before="120" w:after="120" w:line="360" w:lineRule="auto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 esposte considerazioni è il parere della Corte dei conti-Sezione regionale di controllo per la Toscana, in relazione alla richiesta formulata dal sindaco del comune di </w:t>
      </w:r>
      <w:r w:rsidR="00214B04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Poggio a Caiano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viene trasmessa al Presidente del Consiglio delle autonomie locali della Regione Toscana e, per conoscenza, al </w:t>
      </w:r>
      <w:r w:rsidR="00583B7E">
        <w:rPr>
          <w:rFonts w:ascii="Bodoni MT" w:eastAsia="Times New Roman" w:hAnsi="Bodoni MT" w:cs="Times New Roman"/>
          <w:sz w:val="24"/>
          <w:szCs w:val="24"/>
          <w:lang w:eastAsia="it-IT"/>
        </w:rPr>
        <w:t>sindaco del comune di Poggio a Caiano</w:t>
      </w: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Firenze</w:t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6 ottobre 2015</w:t>
      </w:r>
    </w:p>
    <w:p w:rsidR="005845B3" w:rsidRPr="0049409F" w:rsidRDefault="004D0D5A" w:rsidP="004D0D5A">
      <w:pPr>
        <w:spacing w:before="120" w:after="120" w:line="24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L’estensore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845B3"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Il presidente</w:t>
      </w:r>
    </w:p>
    <w:p w:rsidR="005845B3" w:rsidRPr="0049409F" w:rsidRDefault="003D5FF2" w:rsidP="005845B3">
      <w:pPr>
        <w:spacing w:before="120" w:after="120" w:line="24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4D0D5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</w:p>
    <w:p w:rsidR="005845B3" w:rsidRPr="0049409F" w:rsidRDefault="005845B3" w:rsidP="005845B3">
      <w:pPr>
        <w:spacing w:before="120" w:after="120" w:line="24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845B3" w:rsidRPr="0049409F" w:rsidRDefault="005845B3" w:rsidP="005845B3">
      <w:pPr>
        <w:spacing w:before="120" w:after="12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>Dep</w:t>
      </w:r>
      <w:r w:rsidR="0049409F">
        <w:rPr>
          <w:rFonts w:ascii="Bodoni MT" w:eastAsia="Times New Roman" w:hAnsi="Bodoni MT" w:cs="Times New Roman"/>
          <w:sz w:val="24"/>
          <w:szCs w:val="24"/>
          <w:lang w:eastAsia="it-IT"/>
        </w:rPr>
        <w:t>ositata in Segreteria il</w:t>
      </w:r>
      <w:r w:rsidR="0058332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6 ottobre 2015</w:t>
      </w:r>
    </w:p>
    <w:p w:rsidR="005845B3" w:rsidRPr="0049409F" w:rsidRDefault="005845B3" w:rsidP="005845B3">
      <w:pPr>
        <w:spacing w:before="120" w:after="120" w:line="24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9409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funzionario preposto al Servizio di supporto </w:t>
      </w:r>
    </w:p>
    <w:p w:rsidR="005845B3" w:rsidRPr="0049409F" w:rsidRDefault="003D5FF2" w:rsidP="004D0D5A">
      <w:pPr>
        <w:spacing w:before="120" w:after="120"/>
        <w:ind w:left="1416" w:firstLine="708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f.to </w:t>
      </w:r>
      <w:r w:rsidR="0049409F">
        <w:rPr>
          <w:rFonts w:ascii="Bodoni MT" w:hAnsi="Bodoni MT"/>
          <w:sz w:val="24"/>
          <w:szCs w:val="24"/>
        </w:rPr>
        <w:t>Claudio Felli</w:t>
      </w:r>
    </w:p>
    <w:sectPr w:rsidR="005845B3" w:rsidRPr="0049409F" w:rsidSect="004359C5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78" w:rsidRDefault="00F77A78">
      <w:pPr>
        <w:spacing w:after="0" w:line="240" w:lineRule="auto"/>
      </w:pPr>
      <w:r>
        <w:separator/>
      </w:r>
    </w:p>
  </w:endnote>
  <w:endnote w:type="continuationSeparator" w:id="0">
    <w:p w:rsidR="00F77A78" w:rsidRDefault="00F7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4359C5" w:rsidRPr="00371BF4" w:rsidRDefault="00F8181C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71BF4">
          <w:rPr>
            <w:rFonts w:ascii="Bodoni MT" w:hAnsi="Bodoni MT"/>
            <w:sz w:val="20"/>
            <w:szCs w:val="20"/>
          </w:rPr>
          <w:fldChar w:fldCharType="begin"/>
        </w:r>
        <w:r w:rsidR="00361556" w:rsidRPr="00371BF4">
          <w:rPr>
            <w:rFonts w:ascii="Bodoni MT" w:hAnsi="Bodoni MT"/>
            <w:sz w:val="20"/>
            <w:szCs w:val="20"/>
          </w:rPr>
          <w:instrText>PAGE   \* MERGEFORMAT</w:instrText>
        </w:r>
        <w:r w:rsidRPr="00371BF4">
          <w:rPr>
            <w:rFonts w:ascii="Bodoni MT" w:hAnsi="Bodoni MT"/>
            <w:sz w:val="20"/>
            <w:szCs w:val="20"/>
          </w:rPr>
          <w:fldChar w:fldCharType="separate"/>
        </w:r>
        <w:r w:rsidR="00C41F1A">
          <w:rPr>
            <w:rFonts w:ascii="Bodoni MT" w:hAnsi="Bodoni MT"/>
            <w:noProof/>
            <w:sz w:val="20"/>
            <w:szCs w:val="20"/>
          </w:rPr>
          <w:t>1</w:t>
        </w:r>
        <w:r w:rsidRPr="00371BF4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4359C5" w:rsidRDefault="00F77A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78" w:rsidRDefault="00F77A78">
      <w:pPr>
        <w:spacing w:after="0" w:line="240" w:lineRule="auto"/>
      </w:pPr>
      <w:r>
        <w:separator/>
      </w:r>
    </w:p>
  </w:footnote>
  <w:footnote w:type="continuationSeparator" w:id="0">
    <w:p w:rsidR="00F77A78" w:rsidRDefault="00F7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87178"/>
    <w:multiLevelType w:val="hybridMultilevel"/>
    <w:tmpl w:val="46F69EB0"/>
    <w:lvl w:ilvl="0" w:tplc="055A9E74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60B42A14"/>
    <w:multiLevelType w:val="hybridMultilevel"/>
    <w:tmpl w:val="DF3C8B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B3"/>
    <w:rsid w:val="000433B0"/>
    <w:rsid w:val="0004387A"/>
    <w:rsid w:val="00082CAB"/>
    <w:rsid w:val="000C47FF"/>
    <w:rsid w:val="00114B0E"/>
    <w:rsid w:val="00214B04"/>
    <w:rsid w:val="0022740D"/>
    <w:rsid w:val="002F15F2"/>
    <w:rsid w:val="00350044"/>
    <w:rsid w:val="00352D0F"/>
    <w:rsid w:val="00361556"/>
    <w:rsid w:val="00371BF4"/>
    <w:rsid w:val="003D5FF2"/>
    <w:rsid w:val="003F1151"/>
    <w:rsid w:val="00433E70"/>
    <w:rsid w:val="00480A39"/>
    <w:rsid w:val="0049409F"/>
    <w:rsid w:val="004C34C7"/>
    <w:rsid w:val="004D0D5A"/>
    <w:rsid w:val="004D4348"/>
    <w:rsid w:val="0050146F"/>
    <w:rsid w:val="00543179"/>
    <w:rsid w:val="0058332B"/>
    <w:rsid w:val="00583B7E"/>
    <w:rsid w:val="005845B3"/>
    <w:rsid w:val="005F0607"/>
    <w:rsid w:val="006504BA"/>
    <w:rsid w:val="006B43D6"/>
    <w:rsid w:val="0072587A"/>
    <w:rsid w:val="00740EAB"/>
    <w:rsid w:val="00756210"/>
    <w:rsid w:val="007866EE"/>
    <w:rsid w:val="00831828"/>
    <w:rsid w:val="008F2C9F"/>
    <w:rsid w:val="00936B8C"/>
    <w:rsid w:val="00956C10"/>
    <w:rsid w:val="00975352"/>
    <w:rsid w:val="00A20BF5"/>
    <w:rsid w:val="00A24884"/>
    <w:rsid w:val="00A2546D"/>
    <w:rsid w:val="00A70A1D"/>
    <w:rsid w:val="00B25178"/>
    <w:rsid w:val="00B30322"/>
    <w:rsid w:val="00BC3438"/>
    <w:rsid w:val="00C2666F"/>
    <w:rsid w:val="00C41F1A"/>
    <w:rsid w:val="00CC6B26"/>
    <w:rsid w:val="00CC744C"/>
    <w:rsid w:val="00D8013B"/>
    <w:rsid w:val="00E373C3"/>
    <w:rsid w:val="00E67D60"/>
    <w:rsid w:val="00E953C2"/>
    <w:rsid w:val="00E97B7F"/>
    <w:rsid w:val="00EE47C8"/>
    <w:rsid w:val="00F06D5A"/>
    <w:rsid w:val="00F257B0"/>
    <w:rsid w:val="00F27BA3"/>
    <w:rsid w:val="00F77A78"/>
    <w:rsid w:val="00F8181C"/>
    <w:rsid w:val="00F942FF"/>
    <w:rsid w:val="00FC7D93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F209779C-BE15-493F-8A31-AC0F7820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5B3"/>
    <w:pPr>
      <w:spacing w:before="0" w:after="200" w:line="276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5845B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845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5B3"/>
  </w:style>
  <w:style w:type="paragraph" w:styleId="Paragrafoelenco">
    <w:name w:val="List Paragraph"/>
    <w:basedOn w:val="Normale"/>
    <w:uiPriority w:val="34"/>
    <w:qFormat/>
    <w:rsid w:val="005845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71B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B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corte">
      <a:majorFont>
        <a:latin typeface="Bodoni MT"/>
        <a:ea typeface=""/>
        <a:cs typeface=""/>
      </a:majorFont>
      <a:minorFont>
        <a:latin typeface="Bodoni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8A71-0679-435B-9A45-D1E472F9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Prudente Valentina</dc:creator>
  <cp:lastModifiedBy>Croppi Simona</cp:lastModifiedBy>
  <cp:revision>2</cp:revision>
  <cp:lastPrinted>2015-10-06T14:13:00Z</cp:lastPrinted>
  <dcterms:created xsi:type="dcterms:W3CDTF">2015-10-07T06:57:00Z</dcterms:created>
  <dcterms:modified xsi:type="dcterms:W3CDTF">2015-10-07T06:57:00Z</dcterms:modified>
</cp:coreProperties>
</file>