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09" w:rsidRPr="00511042" w:rsidRDefault="00C26809" w:rsidP="00C26809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9B24B0">
        <w:rPr>
          <w:rFonts w:ascii="Bodoni MT" w:eastAsia="Times New Roman" w:hAnsi="Bodoni MT" w:cs="Times New Roman"/>
          <w:sz w:val="24"/>
          <w:szCs w:val="24"/>
          <w:lang w:eastAsia="it-IT"/>
        </w:rPr>
        <w:t>43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/2015/PAR</w:t>
      </w:r>
    </w:p>
    <w:p w:rsidR="00C26809" w:rsidRPr="00511042" w:rsidRDefault="00C26809" w:rsidP="00C26809">
      <w:pPr>
        <w:spacing w:after="0" w:line="360" w:lineRule="auto"/>
        <w:ind w:left="180" w:right="98" w:firstLine="540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object w:dxaOrig="262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05pt;height:72.4pt" o:ole="">
            <v:imagedata r:id="rId7" o:title=""/>
          </v:shape>
          <o:OLEObject Type="Embed" ProgID="Word.Picture.8" ShapeID="_x0000_i1025" DrawAspect="Content" ObjectID="_1490446809" r:id="rId8"/>
        </w:object>
      </w:r>
    </w:p>
    <w:p w:rsidR="00C26809" w:rsidRPr="00511042" w:rsidRDefault="00C26809" w:rsidP="00C26809">
      <w:pPr>
        <w:spacing w:after="0" w:line="360" w:lineRule="auto"/>
        <w:ind w:left="2293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C26809" w:rsidRPr="00511042" w:rsidRDefault="00C26809" w:rsidP="00C26809">
      <w:pPr>
        <w:spacing w:after="0" w:line="360" w:lineRule="auto"/>
        <w:ind w:left="3000" w:right="96" w:firstLine="539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composta dai magistrati:</w:t>
      </w:r>
    </w:p>
    <w:p w:rsidR="00C26809" w:rsidRPr="00511042" w:rsidRDefault="00C26809" w:rsidP="00C26809">
      <w:pPr>
        <w:spacing w:after="0" w:line="360" w:lineRule="auto"/>
        <w:ind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26809" w:rsidRPr="00511042" w:rsidRDefault="00C26809" w:rsidP="00C26809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Gaetano D’AURIA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  <w:t>presidente</w:t>
      </w:r>
    </w:p>
    <w:p w:rsidR="00C26809" w:rsidRPr="00511042" w:rsidRDefault="00C26809" w:rsidP="00C26809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consigliere, relatore</w:t>
      </w:r>
    </w:p>
    <w:p w:rsidR="00C26809" w:rsidRPr="00511042" w:rsidRDefault="00C26809" w:rsidP="00C26809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C26809" w:rsidRPr="00511042" w:rsidRDefault="00C26809" w:rsidP="00C26809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C26809" w:rsidRPr="00511042" w:rsidRDefault="00E62238" w:rsidP="00C26809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C26809" w:rsidRPr="00511042" w:rsidRDefault="00C26809" w:rsidP="00C26809">
      <w:pPr>
        <w:spacing w:after="0" w:line="360" w:lineRule="auto"/>
        <w:ind w:left="720" w:right="9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Marco BONCOMPAGNI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C26809" w:rsidRPr="00511042" w:rsidRDefault="00C26809" w:rsidP="00C26809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145E71" w:rsidRPr="00511042" w:rsidRDefault="00C26809" w:rsidP="00145E71">
      <w:pPr>
        <w:spacing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nell’adunanza del </w:t>
      </w:r>
      <w:r w:rsidR="00145E71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9 aprile 2015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145E71" w:rsidRPr="00511042">
        <w:rPr>
          <w:rFonts w:ascii="Bodoni MT" w:hAnsi="Bodoni MT"/>
          <w:sz w:val="24"/>
          <w:szCs w:val="24"/>
        </w:rPr>
        <w:t xml:space="preserve"> </w:t>
      </w:r>
    </w:p>
    <w:p w:rsidR="00145E71" w:rsidRPr="00511042" w:rsidRDefault="00145E71" w:rsidP="00145E71">
      <w:pPr>
        <w:spacing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 xml:space="preserve">VISTO l’art. 100, comma 2, della Costituzione; </w:t>
      </w:r>
    </w:p>
    <w:p w:rsidR="00145E71" w:rsidRPr="00511042" w:rsidRDefault="00145E71" w:rsidP="00145E71">
      <w:pPr>
        <w:spacing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 xml:space="preserve">VISTO il Testo Unico delle leggi sulla Corte dei conti, approvato con r.d. 12 luglio 1934, n. 1214, e successive modificazioni; </w:t>
      </w:r>
    </w:p>
    <w:p w:rsidR="00145E71" w:rsidRPr="00511042" w:rsidRDefault="00145E71" w:rsidP="00145E71">
      <w:pPr>
        <w:spacing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 xml:space="preserve">VISTA la legge 14 gennaio 1994, n. 20, recante disposizioni in materia di giurisdizione e controllo della Corte dei conti; </w:t>
      </w:r>
    </w:p>
    <w:p w:rsidR="00145E71" w:rsidRPr="00511042" w:rsidRDefault="00145E71" w:rsidP="00145E71">
      <w:pPr>
        <w:spacing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 xml:space="preserve">VISTA la legge 5 giugno 2003 n. 131, recante disposizioni per l’adeguamento dell’ordinamento della Repubblica alla legge costituzionale 18 ottobre 2001, n. 3; </w:t>
      </w:r>
    </w:p>
    <w:p w:rsidR="00145E71" w:rsidRPr="00511042" w:rsidRDefault="00145E71" w:rsidP="00145E71">
      <w:pPr>
        <w:spacing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 xml:space="preserve">VISTO il regolamento n. 14/2000 per l’organizzazione delle funzioni di controllo della Corte dei conti, deliberato dalle Sezioni </w:t>
      </w:r>
      <w:r w:rsidR="00B12328">
        <w:rPr>
          <w:rFonts w:ascii="Bodoni MT" w:hAnsi="Bodoni MT"/>
          <w:sz w:val="24"/>
          <w:szCs w:val="24"/>
        </w:rPr>
        <w:t>r</w:t>
      </w:r>
      <w:r w:rsidRPr="00511042">
        <w:rPr>
          <w:rFonts w:ascii="Bodoni MT" w:hAnsi="Bodoni MT"/>
          <w:sz w:val="24"/>
          <w:szCs w:val="24"/>
        </w:rPr>
        <w:t>iunite in data 16 giugno 2000</w:t>
      </w:r>
      <w:r w:rsidR="00B12328">
        <w:rPr>
          <w:rFonts w:ascii="Bodoni MT" w:hAnsi="Bodoni MT"/>
          <w:sz w:val="24"/>
          <w:szCs w:val="24"/>
        </w:rPr>
        <w:t>,</w:t>
      </w:r>
      <w:r w:rsidRPr="00511042">
        <w:rPr>
          <w:rFonts w:ascii="Bodoni MT" w:hAnsi="Bodoni MT"/>
          <w:sz w:val="24"/>
          <w:szCs w:val="24"/>
        </w:rPr>
        <w:t xml:space="preserve"> e successive modificazioni; </w:t>
      </w:r>
    </w:p>
    <w:p w:rsidR="00145E71" w:rsidRPr="00511042" w:rsidRDefault="00145E71" w:rsidP="00145E71">
      <w:pPr>
        <w:spacing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 xml:space="preserve">VISTA la convenzione stipulata il 16 giugno 2006 tra Sezione regionale di controllo, Consiglio delle autonomie locali e Giunta regionale Toscana in materia di </w:t>
      </w:r>
      <w:r w:rsidRPr="00511042">
        <w:rPr>
          <w:rFonts w:ascii="Bodoni MT" w:hAnsi="Bodoni MT"/>
          <w:sz w:val="24"/>
          <w:szCs w:val="24"/>
        </w:rPr>
        <w:lastRenderedPageBreak/>
        <w:t>“ulteriori forme di collaborazione” tra Corte ed autonomie, ai sensi dell’art. 7, comma 8, della citata l</w:t>
      </w:r>
      <w:r w:rsidR="00B12328">
        <w:rPr>
          <w:rFonts w:ascii="Bodoni MT" w:hAnsi="Bodoni MT"/>
          <w:sz w:val="24"/>
          <w:szCs w:val="24"/>
        </w:rPr>
        <w:t>.</w:t>
      </w:r>
      <w:r w:rsidRPr="00511042">
        <w:rPr>
          <w:rFonts w:ascii="Bodoni MT" w:hAnsi="Bodoni MT"/>
          <w:sz w:val="24"/>
          <w:szCs w:val="24"/>
        </w:rPr>
        <w:t xml:space="preserve"> n. 131 del 2003; </w:t>
      </w:r>
    </w:p>
    <w:p w:rsidR="00145E71" w:rsidRPr="00511042" w:rsidRDefault="00145E71" w:rsidP="00145E71">
      <w:pPr>
        <w:spacing w:after="0" w:line="360" w:lineRule="auto"/>
        <w:ind w:firstLine="709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>VISTA la richiesta di parere formulata dal Sindaco del Comune di Cutigliano (PT) con nota prot. n. 1113 del 7 febbraio 2015, inoltrata dal Consiglio delle autonomie locali con nota prot. n. 3132/1.13.9 dell’11 febbraio 2015;</w:t>
      </w:r>
    </w:p>
    <w:p w:rsidR="00C26809" w:rsidRPr="00511042" w:rsidRDefault="00C26809" w:rsidP="00C26809">
      <w:pPr>
        <w:spacing w:before="120" w:after="12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UDITO il relatore, cons. Maria Annunziata Rucireta;</w:t>
      </w:r>
    </w:p>
    <w:p w:rsidR="00C26809" w:rsidRPr="00511042" w:rsidRDefault="00C26809" w:rsidP="00302D1C">
      <w:pPr>
        <w:spacing w:before="120" w:after="120" w:line="240" w:lineRule="auto"/>
        <w:ind w:left="181" w:right="96" w:firstLine="527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C26809" w:rsidRPr="00511042" w:rsidRDefault="00E94678" w:rsidP="00AD1DCF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la </w:t>
      </w:r>
      <w:r w:rsidR="00145E71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nota in epigrafe, il S</w:t>
      </w:r>
      <w:r w:rsidR="002A1573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indaco del Comune di Cutigliano, premesso di aver fatto ricorso alla procedura di riequilibrio pluriennale di cui agli artt. 243-bis ss. del Tuel, e di 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essere in attesa dell</w:t>
      </w:r>
      <w:r w:rsidR="002A1573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’esito della relativa istruttoria, </w:t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ha inoltrato alla Sezione 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regionale di controllo</w:t>
      </w:r>
      <w:r w:rsidR="002A1573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una richiesta di parere</w:t>
      </w:r>
      <w:r w:rsidR="00145E71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sul punto se</w:t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EE1847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una volta </w:t>
      </w:r>
      <w:r w:rsidR="00273696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dichiarata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2A1573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B123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ai sensi dell’art. 2, comma 3, d.l. 31 agosto 2013, n. 101, conv. dalla l. 30 ottobre 2013, n. 125, </w:t>
      </w:r>
      <w:r w:rsidR="002A1573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l’eccedenza di personale relativamente ad una 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figura professionale assegnataria di </w:t>
      </w:r>
      <w:r w:rsidR="002A1573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posizione organizzativa</w:t>
      </w:r>
      <w:r w:rsidR="00B123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(</w:t>
      </w:r>
      <w:r w:rsidR="002F148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e ottenuta dall’INPS la certificazione dei requisiti per il prepensionamento</w:t>
      </w:r>
      <w:r w:rsidR="00B12328">
        <w:rPr>
          <w:rFonts w:ascii="Bodoni MT" w:eastAsia="Times New Roman" w:hAnsi="Bodoni MT" w:cs="Times New Roman"/>
          <w:sz w:val="24"/>
          <w:szCs w:val="24"/>
          <w:lang w:eastAsia="it-IT"/>
        </w:rPr>
        <w:t>)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,</w:t>
      </w:r>
      <w:r w:rsidR="002A1573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EE1847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s</w:t>
      </w:r>
      <w:r w:rsidR="00AA1D1B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ia</w:t>
      </w:r>
      <w:r w:rsidR="00EE1847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273696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poi </w:t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possibile stipulare con altro ente una convenzione </w:t>
      </w:r>
      <w:r w:rsidR="00AB1537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ai sensi dell’art. 30 d.lgs. </w:t>
      </w:r>
      <w:r w:rsidR="00B12328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n. </w:t>
      </w:r>
      <w:r w:rsidR="00AB1537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267</w:t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/2000 che consenta alternativamente di:</w:t>
      </w:r>
    </w:p>
    <w:p w:rsidR="00AC2052" w:rsidRPr="00511042" w:rsidRDefault="00C26809" w:rsidP="00AD1DCF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- costituire un ufficio comune oper</w:t>
      </w:r>
      <w:r w:rsidR="00EE1847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ante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con personale distaccato da parte degli enti partecipa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n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ti e </w:t>
      </w:r>
      <w:r w:rsidR="00EE1847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avente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, com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responsabile del servizio, soggetto dipendente da altra amministrazione, 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i cui costi s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arebbero 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ri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partiti pro quota tra i due enti; oppure</w:t>
      </w:r>
    </w:p>
    <w:p w:rsidR="00C26809" w:rsidRPr="00511042" w:rsidRDefault="00AD1DCF" w:rsidP="00AD1DCF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- del</w:t>
      </w:r>
      <w:r w:rsidR="00FF4A8A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egare le funzioni ad ufficio dell’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altro ente, cui eventualmente distaccare o comandare </w:t>
      </w:r>
      <w:r w:rsidR="00FF4A8A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proprio 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personale non in eccedenza.</w:t>
      </w:r>
    </w:p>
    <w:p w:rsidR="00C26809" w:rsidRPr="00511042" w:rsidRDefault="00C26809" w:rsidP="00302D1C">
      <w:pPr>
        <w:spacing w:before="120" w:after="120" w:line="360" w:lineRule="auto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AC2052" w:rsidRPr="00511042" w:rsidRDefault="00C26809" w:rsidP="00AC2052">
      <w:pPr>
        <w:spacing w:after="0"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La richiesta di parere</w:t>
      </w:r>
      <w:r w:rsidR="00AC2052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AC2052" w:rsidRPr="00511042">
        <w:rPr>
          <w:rFonts w:ascii="Bodoni MT" w:hAnsi="Bodoni MT"/>
          <w:sz w:val="24"/>
          <w:szCs w:val="24"/>
        </w:rPr>
        <w:t>formulata ai sensi dell’art. 7, comma 8 della l. 5 giugno 2003, n. 131, soddisfa il requisito soggettivo di ammissibilità, in quanto proviene, per il tramite del Consiglio delle autonomie, dall’organo politico di vertice e rappresentante legale dell'ente ai sensi dell’art. 50 del Tuel.</w:t>
      </w:r>
    </w:p>
    <w:p w:rsidR="00AC2052" w:rsidRPr="00511042" w:rsidRDefault="00AC2052" w:rsidP="00AC2052">
      <w:pPr>
        <w:pStyle w:val="Rientrocorpodeltesto2"/>
        <w:spacing w:after="0" w:line="360" w:lineRule="auto"/>
        <w:ind w:left="0" w:firstLine="708"/>
        <w:jc w:val="both"/>
        <w:rPr>
          <w:rFonts w:ascii="Bodoni MT" w:hAnsi="Bodoni MT"/>
        </w:rPr>
      </w:pPr>
      <w:r w:rsidRPr="00511042">
        <w:rPr>
          <w:rFonts w:ascii="Bodoni MT" w:hAnsi="Bodoni MT"/>
        </w:rPr>
        <w:t xml:space="preserve">Quanto al requisito oggettivo, </w:t>
      </w:r>
      <w:r w:rsidR="00C4765A" w:rsidRPr="00511042">
        <w:rPr>
          <w:rFonts w:ascii="Bodoni MT" w:hAnsi="Bodoni MT"/>
        </w:rPr>
        <w:t>occorre considerare se la questione sia, o meno, riconducibile alla materia de</w:t>
      </w:r>
      <w:r w:rsidR="00AB1537" w:rsidRPr="00511042">
        <w:rPr>
          <w:rFonts w:ascii="Bodoni MT" w:hAnsi="Bodoni MT"/>
        </w:rPr>
        <w:t>lla contabilità pubblica, nell’accezione</w:t>
      </w:r>
      <w:r w:rsidR="00C4765A" w:rsidRPr="00511042">
        <w:rPr>
          <w:rFonts w:ascii="Bodoni MT" w:hAnsi="Bodoni MT"/>
        </w:rPr>
        <w:t xml:space="preserve"> estesa e dinamica che della nozione è stata accolta dalle Sezioni riunite (deliberaz. n. 54/2010) e dalla </w:t>
      </w:r>
      <w:r w:rsidR="00C4765A" w:rsidRPr="00511042">
        <w:rPr>
          <w:rFonts w:ascii="Bodoni MT" w:hAnsi="Bodoni MT"/>
        </w:rPr>
        <w:lastRenderedPageBreak/>
        <w:t xml:space="preserve">Sezione delle autonomie (deliberaz. n. 5/AUT/2006). Tali Collegi hanno </w:t>
      </w:r>
      <w:r w:rsidRPr="00511042">
        <w:rPr>
          <w:rFonts w:ascii="Bodoni MT" w:hAnsi="Bodoni MT"/>
        </w:rPr>
        <w:t>chiarito</w:t>
      </w:r>
      <w:r w:rsidR="00C4765A" w:rsidRPr="00511042">
        <w:rPr>
          <w:rFonts w:ascii="Bodoni MT" w:hAnsi="Bodoni MT"/>
        </w:rPr>
        <w:t>, infat</w:t>
      </w:r>
      <w:r w:rsidRPr="00511042">
        <w:rPr>
          <w:rFonts w:ascii="Bodoni MT" w:hAnsi="Bodoni MT"/>
        </w:rPr>
        <w:t xml:space="preserve">ti, che l’ambito applicativo del </w:t>
      </w:r>
      <w:r w:rsidR="00C4765A" w:rsidRPr="00511042">
        <w:rPr>
          <w:rFonts w:ascii="Bodoni MT" w:hAnsi="Bodoni MT"/>
        </w:rPr>
        <w:t xml:space="preserve">concetto va riferito non solo alla gestione di bilancio in senso stretto (acquisizione delle entrate, gestione delle spese, </w:t>
      </w:r>
      <w:r w:rsidRPr="00511042">
        <w:rPr>
          <w:rFonts w:ascii="Bodoni MT" w:hAnsi="Bodoni MT"/>
        </w:rPr>
        <w:t xml:space="preserve">gestione del patrimonio, </w:t>
      </w:r>
      <w:r w:rsidR="00C4765A" w:rsidRPr="00511042">
        <w:rPr>
          <w:rFonts w:ascii="Bodoni MT" w:hAnsi="Bodoni MT"/>
        </w:rPr>
        <w:t xml:space="preserve">indebitamento, rendicontazione e controlli), ma anche, in prospettiva dinamica, alle modalità di utilizzo delle risorse pubbliche </w:t>
      </w:r>
      <w:r w:rsidRPr="00511042">
        <w:rPr>
          <w:rFonts w:ascii="Bodoni MT" w:hAnsi="Bodoni MT"/>
        </w:rPr>
        <w:t xml:space="preserve">suscettibili </w:t>
      </w:r>
      <w:r w:rsidR="00C4765A" w:rsidRPr="00511042">
        <w:rPr>
          <w:rFonts w:ascii="Bodoni MT" w:hAnsi="Bodoni MT"/>
        </w:rPr>
        <w:t>di ripercuotersi sulla sana gestione finanziaria e su</w:t>
      </w:r>
      <w:r w:rsidRPr="00511042">
        <w:rPr>
          <w:rFonts w:ascii="Bodoni MT" w:hAnsi="Bodoni MT"/>
        </w:rPr>
        <w:t>gl</w:t>
      </w:r>
      <w:r w:rsidR="00C4765A" w:rsidRPr="00511042">
        <w:rPr>
          <w:rFonts w:ascii="Bodoni MT" w:hAnsi="Bodoni MT"/>
        </w:rPr>
        <w:t>i equilibri di bilancio</w:t>
      </w:r>
      <w:r w:rsidR="006265DB">
        <w:rPr>
          <w:rFonts w:ascii="Bodoni MT" w:hAnsi="Bodoni MT"/>
        </w:rPr>
        <w:t xml:space="preserve"> dell’ente</w:t>
      </w:r>
      <w:r w:rsidR="00C4765A" w:rsidRPr="00511042">
        <w:rPr>
          <w:rFonts w:ascii="Bodoni MT" w:hAnsi="Bodoni MT"/>
        </w:rPr>
        <w:t xml:space="preserve">, nel quadro dei princìpi </w:t>
      </w:r>
      <w:r w:rsidR="00EE1847" w:rsidRPr="00511042">
        <w:rPr>
          <w:rFonts w:ascii="Bodoni MT" w:hAnsi="Bodoni MT"/>
        </w:rPr>
        <w:t xml:space="preserve">generali </w:t>
      </w:r>
      <w:r w:rsidR="00C4765A" w:rsidRPr="00511042">
        <w:rPr>
          <w:rFonts w:ascii="Bodoni MT" w:hAnsi="Bodoni MT"/>
        </w:rPr>
        <w:t xml:space="preserve">di coordinamento della finanza pubblica. </w:t>
      </w:r>
    </w:p>
    <w:p w:rsidR="00AC2052" w:rsidRPr="00511042" w:rsidRDefault="00FF4A8A" w:rsidP="00AC2052">
      <w:pPr>
        <w:pStyle w:val="Rientrocorpodeltesto2"/>
        <w:spacing w:after="0" w:line="360" w:lineRule="auto"/>
        <w:ind w:left="0" w:firstLine="708"/>
        <w:jc w:val="both"/>
        <w:rPr>
          <w:rFonts w:ascii="Bodoni MT" w:hAnsi="Bodoni MT"/>
        </w:rPr>
      </w:pPr>
      <w:r w:rsidRPr="00511042">
        <w:rPr>
          <w:rFonts w:ascii="Bodoni MT" w:hAnsi="Bodoni MT"/>
        </w:rPr>
        <w:t xml:space="preserve">Inoltre, la Sezione deve preliminarmente accertare se il quesito abbia carattere sufficientemente generale e astratto </w:t>
      </w:r>
      <w:r w:rsidR="00AC2052" w:rsidRPr="00511042">
        <w:rPr>
          <w:rFonts w:ascii="Bodoni MT" w:hAnsi="Bodoni MT"/>
        </w:rPr>
        <w:t xml:space="preserve">da non implicare, da parte della Corte, valutazione di scelte comportamentali specifiche, la cui determinazione non potrebbe che essere rimessa all’ente nell’esercizio della sua autonomia. </w:t>
      </w:r>
    </w:p>
    <w:p w:rsidR="00AB2E28" w:rsidRPr="00511042" w:rsidRDefault="00C26809" w:rsidP="00590EDB">
      <w:pPr>
        <w:pStyle w:val="Testodelblocco"/>
        <w:spacing w:before="0" w:beforeAutospacing="0" w:after="0" w:afterAutospacing="0"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>Nel</w:t>
      </w:r>
      <w:r w:rsidR="00AA1D1B" w:rsidRPr="00511042">
        <w:rPr>
          <w:rFonts w:ascii="Bodoni MT" w:hAnsi="Bodoni MT"/>
          <w:sz w:val="24"/>
          <w:szCs w:val="24"/>
        </w:rPr>
        <w:t>la presente fattispecie</w:t>
      </w:r>
      <w:r w:rsidRPr="00511042">
        <w:rPr>
          <w:rFonts w:ascii="Bodoni MT" w:hAnsi="Bodoni MT"/>
          <w:sz w:val="24"/>
          <w:szCs w:val="24"/>
        </w:rPr>
        <w:t>,</w:t>
      </w:r>
      <w:r w:rsidR="00C4765A" w:rsidRPr="00511042">
        <w:rPr>
          <w:rFonts w:ascii="Bodoni MT" w:hAnsi="Bodoni MT"/>
          <w:sz w:val="24"/>
          <w:szCs w:val="24"/>
        </w:rPr>
        <w:t xml:space="preserve"> </w:t>
      </w:r>
      <w:r w:rsidR="00AA1D1B" w:rsidRPr="00511042">
        <w:rPr>
          <w:rFonts w:ascii="Bodoni MT" w:hAnsi="Bodoni MT"/>
          <w:sz w:val="24"/>
          <w:szCs w:val="24"/>
        </w:rPr>
        <w:t xml:space="preserve">la </w:t>
      </w:r>
      <w:r w:rsidRPr="00511042">
        <w:rPr>
          <w:rFonts w:ascii="Bodoni MT" w:hAnsi="Bodoni MT"/>
          <w:sz w:val="24"/>
          <w:szCs w:val="24"/>
        </w:rPr>
        <w:t xml:space="preserve">Sezione </w:t>
      </w:r>
      <w:r w:rsidR="00CA616B" w:rsidRPr="00511042">
        <w:rPr>
          <w:rFonts w:ascii="Bodoni MT" w:hAnsi="Bodoni MT"/>
          <w:sz w:val="24"/>
          <w:szCs w:val="24"/>
        </w:rPr>
        <w:t>ri</w:t>
      </w:r>
      <w:r w:rsidR="00AB2E28" w:rsidRPr="00511042">
        <w:rPr>
          <w:rFonts w:ascii="Bodoni MT" w:hAnsi="Bodoni MT"/>
          <w:sz w:val="24"/>
          <w:szCs w:val="24"/>
        </w:rPr>
        <w:t>tiene</w:t>
      </w:r>
      <w:r w:rsidR="00616ECD" w:rsidRPr="00511042">
        <w:rPr>
          <w:rFonts w:ascii="Bodoni MT" w:hAnsi="Bodoni MT"/>
          <w:sz w:val="24"/>
          <w:szCs w:val="24"/>
        </w:rPr>
        <w:t xml:space="preserve"> </w:t>
      </w:r>
      <w:r w:rsidR="00CA616B" w:rsidRPr="00511042">
        <w:rPr>
          <w:rFonts w:ascii="Bodoni MT" w:hAnsi="Bodoni MT"/>
          <w:sz w:val="24"/>
          <w:szCs w:val="24"/>
        </w:rPr>
        <w:t>che</w:t>
      </w:r>
      <w:r w:rsidR="005847E8" w:rsidRPr="00511042">
        <w:rPr>
          <w:rFonts w:ascii="Bodoni MT" w:hAnsi="Bodoni MT"/>
          <w:sz w:val="24"/>
          <w:szCs w:val="24"/>
        </w:rPr>
        <w:t xml:space="preserve"> la </w:t>
      </w:r>
      <w:r w:rsidR="003D7DAA" w:rsidRPr="00511042">
        <w:rPr>
          <w:rFonts w:ascii="Bodoni MT" w:hAnsi="Bodoni MT"/>
          <w:sz w:val="24"/>
          <w:szCs w:val="24"/>
        </w:rPr>
        <w:t xml:space="preserve">richiesta </w:t>
      </w:r>
      <w:r w:rsidR="005847E8" w:rsidRPr="00511042">
        <w:rPr>
          <w:rFonts w:ascii="Bodoni MT" w:hAnsi="Bodoni MT"/>
          <w:sz w:val="24"/>
          <w:szCs w:val="24"/>
        </w:rPr>
        <w:t xml:space="preserve">dell’ente, </w:t>
      </w:r>
      <w:r w:rsidR="003D7DAA" w:rsidRPr="00511042">
        <w:rPr>
          <w:rFonts w:ascii="Bodoni MT" w:hAnsi="Bodoni MT"/>
          <w:sz w:val="24"/>
          <w:szCs w:val="24"/>
        </w:rPr>
        <w:t xml:space="preserve">ove si intenda riferita </w:t>
      </w:r>
      <w:r w:rsidR="005847E8" w:rsidRPr="00511042">
        <w:rPr>
          <w:rFonts w:ascii="Bodoni MT" w:hAnsi="Bodoni MT"/>
          <w:sz w:val="24"/>
          <w:szCs w:val="24"/>
        </w:rPr>
        <w:t xml:space="preserve">alla </w:t>
      </w:r>
      <w:r w:rsidR="00AA1D1B" w:rsidRPr="00511042">
        <w:rPr>
          <w:rFonts w:ascii="Bodoni MT" w:hAnsi="Bodoni MT"/>
          <w:sz w:val="24"/>
          <w:szCs w:val="24"/>
        </w:rPr>
        <w:t xml:space="preserve">individuazione </w:t>
      </w:r>
      <w:r w:rsidR="00CA616B" w:rsidRPr="00511042">
        <w:rPr>
          <w:rFonts w:ascii="Bodoni MT" w:hAnsi="Bodoni MT"/>
          <w:sz w:val="24"/>
          <w:szCs w:val="24"/>
        </w:rPr>
        <w:t>del</w:t>
      </w:r>
      <w:r w:rsidR="00FB23A3" w:rsidRPr="00511042">
        <w:rPr>
          <w:rFonts w:ascii="Bodoni MT" w:hAnsi="Bodoni MT"/>
          <w:sz w:val="24"/>
          <w:szCs w:val="24"/>
        </w:rPr>
        <w:t xml:space="preserve"> miglior </w:t>
      </w:r>
      <w:r w:rsidR="00CA616B" w:rsidRPr="00511042">
        <w:rPr>
          <w:rFonts w:ascii="Bodoni MT" w:hAnsi="Bodoni MT"/>
          <w:sz w:val="24"/>
          <w:szCs w:val="24"/>
        </w:rPr>
        <w:t>assetto organizzativo per la gestione di un servizio</w:t>
      </w:r>
      <w:r w:rsidR="00FB23A3" w:rsidRPr="00511042">
        <w:rPr>
          <w:rFonts w:ascii="Bodoni MT" w:hAnsi="Bodoni MT"/>
          <w:sz w:val="24"/>
          <w:szCs w:val="24"/>
        </w:rPr>
        <w:t xml:space="preserve"> </w:t>
      </w:r>
      <w:r w:rsidR="006265DB">
        <w:rPr>
          <w:rFonts w:ascii="Bodoni MT" w:hAnsi="Bodoni MT"/>
          <w:sz w:val="24"/>
          <w:szCs w:val="24"/>
        </w:rPr>
        <w:t xml:space="preserve">conseguente </w:t>
      </w:r>
      <w:r w:rsidR="00AB2E28" w:rsidRPr="00511042">
        <w:rPr>
          <w:rFonts w:ascii="Bodoni MT" w:hAnsi="Bodoni MT"/>
          <w:sz w:val="24"/>
          <w:szCs w:val="24"/>
        </w:rPr>
        <w:t xml:space="preserve">ad </w:t>
      </w:r>
      <w:r w:rsidR="003212F8" w:rsidRPr="00511042">
        <w:rPr>
          <w:rFonts w:ascii="Bodoni MT" w:hAnsi="Bodoni MT"/>
          <w:sz w:val="24"/>
          <w:szCs w:val="24"/>
        </w:rPr>
        <w:t xml:space="preserve">una </w:t>
      </w:r>
      <w:r w:rsidR="003D7DAA" w:rsidRPr="00511042">
        <w:rPr>
          <w:rFonts w:ascii="Bodoni MT" w:hAnsi="Bodoni MT"/>
          <w:sz w:val="24"/>
          <w:szCs w:val="24"/>
        </w:rPr>
        <w:t xml:space="preserve">eventuale </w:t>
      </w:r>
      <w:r w:rsidR="00FB23A3" w:rsidRPr="00511042">
        <w:rPr>
          <w:rFonts w:ascii="Bodoni MT" w:hAnsi="Bodoni MT"/>
          <w:sz w:val="24"/>
          <w:szCs w:val="24"/>
        </w:rPr>
        <w:t>dichiarazione di esubero</w:t>
      </w:r>
      <w:r w:rsidR="00CA616B" w:rsidRPr="00511042">
        <w:rPr>
          <w:rFonts w:ascii="Bodoni MT" w:hAnsi="Bodoni MT"/>
          <w:sz w:val="24"/>
          <w:szCs w:val="24"/>
        </w:rPr>
        <w:t xml:space="preserve">, </w:t>
      </w:r>
      <w:r w:rsidR="003212F8" w:rsidRPr="00511042">
        <w:rPr>
          <w:rFonts w:ascii="Bodoni MT" w:hAnsi="Bodoni MT"/>
          <w:sz w:val="24"/>
          <w:szCs w:val="24"/>
        </w:rPr>
        <w:t xml:space="preserve">esuli </w:t>
      </w:r>
      <w:r w:rsidR="00FB23A3" w:rsidRPr="00511042">
        <w:rPr>
          <w:rFonts w:ascii="Bodoni MT" w:hAnsi="Bodoni MT"/>
          <w:sz w:val="24"/>
          <w:szCs w:val="24"/>
        </w:rPr>
        <w:t>dall’ambito oggettivo della funzione consultiva</w:t>
      </w:r>
      <w:r w:rsidR="00616ECD" w:rsidRPr="00511042">
        <w:rPr>
          <w:rFonts w:ascii="Bodoni MT" w:hAnsi="Bodoni MT"/>
          <w:sz w:val="24"/>
          <w:szCs w:val="24"/>
        </w:rPr>
        <w:t xml:space="preserve"> della Corte dei conti</w:t>
      </w:r>
      <w:r w:rsidR="00FB23A3" w:rsidRPr="00511042">
        <w:rPr>
          <w:rFonts w:ascii="Bodoni MT" w:hAnsi="Bodoni MT"/>
          <w:sz w:val="24"/>
          <w:szCs w:val="24"/>
        </w:rPr>
        <w:t xml:space="preserve">, </w:t>
      </w:r>
      <w:r w:rsidR="00CA616B" w:rsidRPr="00511042">
        <w:rPr>
          <w:rFonts w:ascii="Bodoni MT" w:hAnsi="Bodoni MT"/>
          <w:sz w:val="24"/>
          <w:szCs w:val="24"/>
        </w:rPr>
        <w:t xml:space="preserve">poiché </w:t>
      </w:r>
      <w:r w:rsidR="003212F8" w:rsidRPr="00511042">
        <w:rPr>
          <w:rFonts w:ascii="Bodoni MT" w:hAnsi="Bodoni MT"/>
          <w:sz w:val="24"/>
          <w:szCs w:val="24"/>
        </w:rPr>
        <w:t>si tratta di decisione specifica</w:t>
      </w:r>
      <w:r w:rsidR="00AB2E28" w:rsidRPr="00511042">
        <w:rPr>
          <w:rFonts w:ascii="Bodoni MT" w:hAnsi="Bodoni MT"/>
          <w:sz w:val="24"/>
          <w:szCs w:val="24"/>
        </w:rPr>
        <w:t xml:space="preserve"> (da attuarsi, nelle intenzioni dell’ente, mediante convenzione ai sensi dell’art. 30 del d.lgs. n. 267/2000), </w:t>
      </w:r>
      <w:r w:rsidR="005847E8" w:rsidRPr="00511042">
        <w:rPr>
          <w:rFonts w:ascii="Bodoni MT" w:hAnsi="Bodoni MT"/>
          <w:sz w:val="24"/>
          <w:szCs w:val="24"/>
        </w:rPr>
        <w:t xml:space="preserve">che, ancorché </w:t>
      </w:r>
      <w:r w:rsidR="003D7DAA" w:rsidRPr="00511042">
        <w:rPr>
          <w:rFonts w:ascii="Bodoni MT" w:hAnsi="Bodoni MT"/>
          <w:sz w:val="24"/>
          <w:szCs w:val="24"/>
        </w:rPr>
        <w:t xml:space="preserve">relativa a </w:t>
      </w:r>
      <w:r w:rsidR="005847E8" w:rsidRPr="00511042">
        <w:rPr>
          <w:rFonts w:ascii="Bodoni MT" w:hAnsi="Bodoni MT"/>
          <w:sz w:val="24"/>
          <w:szCs w:val="24"/>
        </w:rPr>
        <w:t xml:space="preserve">materia </w:t>
      </w:r>
      <w:r w:rsidR="00E86D66" w:rsidRPr="00511042">
        <w:rPr>
          <w:rFonts w:ascii="Bodoni MT" w:hAnsi="Bodoni MT"/>
          <w:sz w:val="24"/>
          <w:szCs w:val="24"/>
        </w:rPr>
        <w:t>di contabilità pubblica</w:t>
      </w:r>
      <w:r w:rsidR="00AA1D1B" w:rsidRPr="00511042">
        <w:rPr>
          <w:rFonts w:ascii="Bodoni MT" w:hAnsi="Bodoni MT"/>
          <w:sz w:val="24"/>
          <w:szCs w:val="24"/>
        </w:rPr>
        <w:t xml:space="preserve"> nell’accezione più lata </w:t>
      </w:r>
      <w:r w:rsidR="003D7DAA" w:rsidRPr="00511042">
        <w:rPr>
          <w:rFonts w:ascii="Bodoni MT" w:hAnsi="Bodoni MT"/>
          <w:sz w:val="24"/>
          <w:szCs w:val="24"/>
        </w:rPr>
        <w:t xml:space="preserve">come </w:t>
      </w:r>
      <w:r w:rsidR="00AA1D1B" w:rsidRPr="00511042">
        <w:rPr>
          <w:rFonts w:ascii="Bodoni MT" w:hAnsi="Bodoni MT"/>
          <w:sz w:val="24"/>
          <w:szCs w:val="24"/>
        </w:rPr>
        <w:t>sopra riportata</w:t>
      </w:r>
      <w:r w:rsidR="005847E8" w:rsidRPr="00511042">
        <w:rPr>
          <w:rFonts w:ascii="Bodoni MT" w:hAnsi="Bodoni MT"/>
          <w:sz w:val="24"/>
          <w:szCs w:val="24"/>
        </w:rPr>
        <w:t xml:space="preserve">, </w:t>
      </w:r>
      <w:r w:rsidR="00AA1D1B" w:rsidRPr="00511042">
        <w:rPr>
          <w:rFonts w:ascii="Bodoni MT" w:hAnsi="Bodoni MT"/>
          <w:sz w:val="24"/>
          <w:szCs w:val="24"/>
        </w:rPr>
        <w:t xml:space="preserve">attiene alla </w:t>
      </w:r>
      <w:r w:rsidR="002F1489" w:rsidRPr="00511042">
        <w:rPr>
          <w:rFonts w:ascii="Bodoni MT" w:hAnsi="Bodoni MT"/>
          <w:sz w:val="24"/>
          <w:szCs w:val="24"/>
        </w:rPr>
        <w:t xml:space="preserve">convenienza di una scelta gestionale </w:t>
      </w:r>
      <w:r w:rsidR="006265DB">
        <w:rPr>
          <w:rFonts w:ascii="Bodoni MT" w:hAnsi="Bodoni MT"/>
          <w:sz w:val="24"/>
          <w:szCs w:val="24"/>
        </w:rPr>
        <w:t xml:space="preserve">concreta, </w:t>
      </w:r>
      <w:r w:rsidR="00AA1D1B" w:rsidRPr="00511042">
        <w:rPr>
          <w:rFonts w:ascii="Bodoni MT" w:hAnsi="Bodoni MT"/>
          <w:sz w:val="24"/>
          <w:szCs w:val="24"/>
        </w:rPr>
        <w:t xml:space="preserve">ed </w:t>
      </w:r>
      <w:r w:rsidR="00E86D66" w:rsidRPr="00511042">
        <w:rPr>
          <w:rFonts w:ascii="Bodoni MT" w:hAnsi="Bodoni MT"/>
          <w:sz w:val="24"/>
          <w:szCs w:val="24"/>
        </w:rPr>
        <w:t xml:space="preserve">è </w:t>
      </w:r>
      <w:r w:rsidR="003212F8" w:rsidRPr="00511042">
        <w:rPr>
          <w:rFonts w:ascii="Bodoni MT" w:hAnsi="Bodoni MT"/>
          <w:sz w:val="24"/>
          <w:szCs w:val="24"/>
        </w:rPr>
        <w:t xml:space="preserve">basata su elementi </w:t>
      </w:r>
      <w:r w:rsidR="006265DB">
        <w:rPr>
          <w:rFonts w:ascii="Bodoni MT" w:hAnsi="Bodoni MT"/>
          <w:sz w:val="24"/>
          <w:szCs w:val="24"/>
        </w:rPr>
        <w:t>di analisi fattuale,</w:t>
      </w:r>
      <w:r w:rsidR="003212F8" w:rsidRPr="00511042">
        <w:rPr>
          <w:rFonts w:ascii="Bodoni MT" w:hAnsi="Bodoni MT"/>
          <w:sz w:val="24"/>
          <w:szCs w:val="24"/>
        </w:rPr>
        <w:t xml:space="preserve"> </w:t>
      </w:r>
      <w:r w:rsidR="00D447E5" w:rsidRPr="00511042">
        <w:rPr>
          <w:rFonts w:ascii="Bodoni MT" w:hAnsi="Bodoni MT"/>
          <w:sz w:val="24"/>
          <w:szCs w:val="24"/>
        </w:rPr>
        <w:t>il cui esame</w:t>
      </w:r>
      <w:r w:rsidR="00EE1847" w:rsidRPr="00511042">
        <w:rPr>
          <w:rFonts w:ascii="Bodoni MT" w:hAnsi="Bodoni MT"/>
          <w:sz w:val="24"/>
          <w:szCs w:val="24"/>
        </w:rPr>
        <w:t xml:space="preserve"> </w:t>
      </w:r>
      <w:r w:rsidR="00E86D66" w:rsidRPr="00511042">
        <w:rPr>
          <w:rFonts w:ascii="Bodoni MT" w:hAnsi="Bodoni MT"/>
          <w:sz w:val="24"/>
          <w:szCs w:val="24"/>
        </w:rPr>
        <w:t xml:space="preserve">resta </w:t>
      </w:r>
      <w:r w:rsidR="00454DAD">
        <w:rPr>
          <w:rFonts w:ascii="Bodoni MT" w:hAnsi="Bodoni MT"/>
          <w:sz w:val="24"/>
          <w:szCs w:val="24"/>
        </w:rPr>
        <w:t>precluso alla Sezione nella sede consultiva.</w:t>
      </w:r>
    </w:p>
    <w:p w:rsidR="006265DB" w:rsidRDefault="00D10C5E" w:rsidP="00590EDB">
      <w:pPr>
        <w:pStyle w:val="Testodelblocco"/>
        <w:spacing w:before="0" w:beforeAutospacing="0" w:after="0" w:afterAutospacing="0" w:line="360" w:lineRule="auto"/>
        <w:ind w:firstLine="708"/>
        <w:jc w:val="both"/>
        <w:rPr>
          <w:rFonts w:ascii="Bodoni MT" w:hAnsi="Bodoni MT"/>
          <w:sz w:val="24"/>
          <w:szCs w:val="24"/>
        </w:rPr>
      </w:pPr>
      <w:r w:rsidRPr="00511042">
        <w:rPr>
          <w:rFonts w:ascii="Bodoni MT" w:hAnsi="Bodoni MT"/>
          <w:sz w:val="24"/>
          <w:szCs w:val="24"/>
        </w:rPr>
        <w:t xml:space="preserve">Nella </w:t>
      </w:r>
      <w:r w:rsidR="003D7DAA" w:rsidRPr="00511042">
        <w:rPr>
          <w:rFonts w:ascii="Bodoni MT" w:hAnsi="Bodoni MT"/>
          <w:sz w:val="24"/>
          <w:szCs w:val="24"/>
        </w:rPr>
        <w:t xml:space="preserve">prospettazione </w:t>
      </w:r>
      <w:r w:rsidRPr="00511042">
        <w:rPr>
          <w:rFonts w:ascii="Bodoni MT" w:hAnsi="Bodoni MT"/>
          <w:sz w:val="24"/>
          <w:szCs w:val="24"/>
        </w:rPr>
        <w:t xml:space="preserve">dell’ente è tuttavia possibile rintracciare anche un profilo più generale, avente ad oggetto la </w:t>
      </w:r>
      <w:r w:rsidR="005847E8" w:rsidRPr="00511042">
        <w:rPr>
          <w:rFonts w:ascii="Bodoni MT" w:hAnsi="Bodoni MT"/>
          <w:sz w:val="24"/>
          <w:szCs w:val="24"/>
        </w:rPr>
        <w:t>corretta interpretazione del vincolo posto dall’art. 2, comma 3, del d.l. n. 101/2013</w:t>
      </w:r>
      <w:r w:rsidR="00B12328">
        <w:rPr>
          <w:rFonts w:ascii="Bodoni MT" w:hAnsi="Bodoni MT"/>
          <w:sz w:val="24"/>
          <w:szCs w:val="24"/>
        </w:rPr>
        <w:t>, citato in premessa,</w:t>
      </w:r>
      <w:r w:rsidR="005847E8" w:rsidRPr="00511042">
        <w:rPr>
          <w:rFonts w:ascii="Bodoni MT" w:hAnsi="Bodoni MT"/>
          <w:sz w:val="24"/>
          <w:szCs w:val="24"/>
        </w:rPr>
        <w:t xml:space="preserve"> secondo cui, dopo la dichiarazione di esubero (che l’ente </w:t>
      </w:r>
      <w:r w:rsidR="00B12328">
        <w:rPr>
          <w:rFonts w:ascii="Bodoni MT" w:hAnsi="Bodoni MT"/>
          <w:sz w:val="24"/>
          <w:szCs w:val="24"/>
        </w:rPr>
        <w:t xml:space="preserve">ha </w:t>
      </w:r>
      <w:r w:rsidRPr="00511042">
        <w:rPr>
          <w:rFonts w:ascii="Bodoni MT" w:hAnsi="Bodoni MT"/>
          <w:sz w:val="24"/>
          <w:szCs w:val="24"/>
        </w:rPr>
        <w:t>dichiara</w:t>
      </w:r>
      <w:r w:rsidR="00B12328">
        <w:rPr>
          <w:rFonts w:ascii="Bodoni MT" w:hAnsi="Bodoni MT"/>
          <w:sz w:val="24"/>
          <w:szCs w:val="24"/>
        </w:rPr>
        <w:t>to</w:t>
      </w:r>
      <w:r w:rsidRPr="00511042">
        <w:rPr>
          <w:rFonts w:ascii="Bodoni MT" w:hAnsi="Bodoni MT"/>
          <w:sz w:val="24"/>
          <w:szCs w:val="24"/>
        </w:rPr>
        <w:t xml:space="preserve"> di voler </w:t>
      </w:r>
      <w:r w:rsidR="005847E8" w:rsidRPr="00511042">
        <w:rPr>
          <w:rFonts w:ascii="Bodoni MT" w:hAnsi="Bodoni MT"/>
          <w:sz w:val="24"/>
          <w:szCs w:val="24"/>
        </w:rPr>
        <w:t>azionare</w:t>
      </w:r>
      <w:r w:rsidRPr="00511042">
        <w:rPr>
          <w:rFonts w:ascii="Bodoni MT" w:hAnsi="Bodoni MT"/>
          <w:sz w:val="24"/>
          <w:szCs w:val="24"/>
        </w:rPr>
        <w:t>)</w:t>
      </w:r>
      <w:r w:rsidR="00EE1847" w:rsidRPr="00511042">
        <w:rPr>
          <w:rFonts w:ascii="Bodoni MT" w:hAnsi="Bodoni MT"/>
          <w:sz w:val="24"/>
          <w:szCs w:val="24"/>
        </w:rPr>
        <w:t>,</w:t>
      </w:r>
      <w:r w:rsidR="005847E8" w:rsidRPr="00511042">
        <w:rPr>
          <w:rFonts w:ascii="Bodoni MT" w:hAnsi="Bodoni MT"/>
          <w:sz w:val="24"/>
          <w:szCs w:val="24"/>
        </w:rPr>
        <w:t xml:space="preserve"> “le posizioni organiche non possono essere ripristinate nella dotazione organic</w:t>
      </w:r>
      <w:r w:rsidR="00B12328">
        <w:rPr>
          <w:rFonts w:ascii="Bodoni MT" w:hAnsi="Bodoni MT"/>
          <w:sz w:val="24"/>
          <w:szCs w:val="24"/>
        </w:rPr>
        <w:t>a di ciascuna amministrazione”</w:t>
      </w:r>
      <w:r w:rsidRPr="00511042">
        <w:rPr>
          <w:rFonts w:ascii="Bodoni MT" w:hAnsi="Bodoni MT"/>
          <w:sz w:val="24"/>
          <w:szCs w:val="24"/>
        </w:rPr>
        <w:t xml:space="preserve">. </w:t>
      </w:r>
      <w:r w:rsidR="00B12328">
        <w:rPr>
          <w:rFonts w:ascii="Bodoni MT" w:hAnsi="Bodoni MT"/>
          <w:sz w:val="24"/>
          <w:szCs w:val="24"/>
        </w:rPr>
        <w:t>La Sezione ritiene</w:t>
      </w:r>
      <w:r w:rsidR="00AA1D1B" w:rsidRPr="00511042">
        <w:rPr>
          <w:rFonts w:ascii="Bodoni MT" w:hAnsi="Bodoni MT"/>
          <w:sz w:val="24"/>
          <w:szCs w:val="24"/>
        </w:rPr>
        <w:t xml:space="preserve"> </w:t>
      </w:r>
      <w:r w:rsidRPr="00511042">
        <w:rPr>
          <w:rFonts w:ascii="Bodoni MT" w:hAnsi="Bodoni MT"/>
          <w:sz w:val="24"/>
          <w:szCs w:val="24"/>
        </w:rPr>
        <w:t xml:space="preserve">tale </w:t>
      </w:r>
      <w:r w:rsidR="006265DB">
        <w:rPr>
          <w:rFonts w:ascii="Bodoni MT" w:hAnsi="Bodoni MT"/>
          <w:sz w:val="24"/>
          <w:szCs w:val="24"/>
        </w:rPr>
        <w:t>questione interpretativa</w:t>
      </w:r>
      <w:r w:rsidR="00B12328">
        <w:rPr>
          <w:rFonts w:ascii="Bodoni MT" w:hAnsi="Bodoni MT"/>
          <w:sz w:val="24"/>
          <w:szCs w:val="24"/>
        </w:rPr>
        <w:t xml:space="preserve"> riferibile alla materia della contabilità pubblica in senso lato, e dunque </w:t>
      </w:r>
      <w:r w:rsidRPr="00511042">
        <w:rPr>
          <w:rFonts w:ascii="Bodoni MT" w:hAnsi="Bodoni MT"/>
          <w:sz w:val="24"/>
          <w:szCs w:val="24"/>
        </w:rPr>
        <w:t>ammissibile dal punto di vist</w:t>
      </w:r>
      <w:r w:rsidR="00B12328">
        <w:rPr>
          <w:rFonts w:ascii="Bodoni MT" w:hAnsi="Bodoni MT"/>
          <w:sz w:val="24"/>
          <w:szCs w:val="24"/>
        </w:rPr>
        <w:t>a</w:t>
      </w:r>
      <w:r w:rsidRPr="00511042">
        <w:rPr>
          <w:rFonts w:ascii="Bodoni MT" w:hAnsi="Bodoni MT"/>
          <w:sz w:val="24"/>
          <w:szCs w:val="24"/>
        </w:rPr>
        <w:t xml:space="preserve"> oggettivo</w:t>
      </w:r>
      <w:r w:rsidR="00B12328">
        <w:rPr>
          <w:rFonts w:ascii="Bodoni MT" w:hAnsi="Bodoni MT"/>
          <w:sz w:val="24"/>
          <w:szCs w:val="24"/>
        </w:rPr>
        <w:t xml:space="preserve">. </w:t>
      </w:r>
    </w:p>
    <w:p w:rsidR="00E86D66" w:rsidRPr="00511042" w:rsidRDefault="006265DB" w:rsidP="00590EDB">
      <w:pPr>
        <w:pStyle w:val="Testodelblocco"/>
        <w:spacing w:before="0" w:beforeAutospacing="0" w:after="0" w:afterAutospacing="0" w:line="360" w:lineRule="auto"/>
        <w:ind w:firstLine="708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 xml:space="preserve">In proposito, si rileva </w:t>
      </w:r>
      <w:r w:rsidR="005847E8" w:rsidRPr="00511042">
        <w:rPr>
          <w:rFonts w:ascii="Bodoni MT" w:hAnsi="Bodoni MT"/>
          <w:sz w:val="24"/>
          <w:szCs w:val="24"/>
        </w:rPr>
        <w:t xml:space="preserve">che </w:t>
      </w:r>
      <w:r w:rsidR="00D10C5E" w:rsidRPr="00511042">
        <w:rPr>
          <w:rFonts w:ascii="Bodoni MT" w:hAnsi="Bodoni MT"/>
          <w:sz w:val="24"/>
          <w:szCs w:val="24"/>
        </w:rPr>
        <w:t xml:space="preserve">la </w:t>
      </w:r>
      <w:r>
        <w:rPr>
          <w:rFonts w:ascii="Bodoni MT" w:hAnsi="Bodoni MT"/>
          <w:sz w:val="24"/>
          <w:szCs w:val="24"/>
        </w:rPr>
        <w:t xml:space="preserve">disposizione </w:t>
      </w:r>
      <w:r w:rsidR="00D10C5E" w:rsidRPr="00511042">
        <w:rPr>
          <w:rFonts w:ascii="Bodoni MT" w:hAnsi="Bodoni MT"/>
          <w:sz w:val="24"/>
          <w:szCs w:val="24"/>
        </w:rPr>
        <w:t xml:space="preserve">in </w:t>
      </w:r>
      <w:r w:rsidR="003D7DAA" w:rsidRPr="00511042">
        <w:rPr>
          <w:rFonts w:ascii="Bodoni MT" w:hAnsi="Bodoni MT"/>
          <w:sz w:val="24"/>
          <w:szCs w:val="24"/>
        </w:rPr>
        <w:t>esame</w:t>
      </w:r>
      <w:r w:rsidR="00EE1847" w:rsidRPr="00511042">
        <w:rPr>
          <w:rFonts w:ascii="Bodoni MT" w:hAnsi="Bodoni MT"/>
          <w:sz w:val="24"/>
          <w:szCs w:val="24"/>
        </w:rPr>
        <w:t>, inserita in un contesto di razionalizzazione</w:t>
      </w:r>
      <w:r w:rsidR="004400F8" w:rsidRPr="00511042">
        <w:rPr>
          <w:rFonts w:ascii="Bodoni MT" w:hAnsi="Bodoni MT"/>
          <w:sz w:val="24"/>
          <w:szCs w:val="24"/>
        </w:rPr>
        <w:t xml:space="preserve"> organizzativa </w:t>
      </w:r>
      <w:r>
        <w:rPr>
          <w:rFonts w:ascii="Bodoni MT" w:hAnsi="Bodoni MT"/>
          <w:sz w:val="24"/>
          <w:szCs w:val="24"/>
        </w:rPr>
        <w:t xml:space="preserve">(ovviamente rispettosa delle funzioni essenziali) </w:t>
      </w:r>
      <w:r w:rsidR="004400F8" w:rsidRPr="00511042">
        <w:rPr>
          <w:rFonts w:ascii="Bodoni MT" w:hAnsi="Bodoni MT"/>
          <w:sz w:val="24"/>
          <w:szCs w:val="24"/>
        </w:rPr>
        <w:t>a fini di spending review</w:t>
      </w:r>
      <w:r w:rsidR="00EE1847" w:rsidRPr="00511042">
        <w:rPr>
          <w:rFonts w:ascii="Bodoni MT" w:hAnsi="Bodoni MT"/>
          <w:sz w:val="24"/>
          <w:szCs w:val="24"/>
        </w:rPr>
        <w:t xml:space="preserve">, </w:t>
      </w:r>
      <w:r w:rsidR="004400F8" w:rsidRPr="00511042">
        <w:rPr>
          <w:rFonts w:ascii="Bodoni MT" w:hAnsi="Bodoni MT"/>
          <w:sz w:val="24"/>
          <w:szCs w:val="24"/>
        </w:rPr>
        <w:t xml:space="preserve">subordina </w:t>
      </w:r>
      <w:r w:rsidR="00AA1D1B" w:rsidRPr="00511042">
        <w:rPr>
          <w:rFonts w:ascii="Bodoni MT" w:hAnsi="Bodoni MT"/>
          <w:sz w:val="24"/>
          <w:szCs w:val="24"/>
        </w:rPr>
        <w:t xml:space="preserve">il ricorso al prepensionamento </w:t>
      </w:r>
      <w:r>
        <w:rPr>
          <w:rFonts w:ascii="Bodoni MT" w:hAnsi="Bodoni MT"/>
          <w:sz w:val="24"/>
          <w:szCs w:val="24"/>
        </w:rPr>
        <w:t xml:space="preserve">per posizioni </w:t>
      </w:r>
      <w:r>
        <w:rPr>
          <w:rFonts w:ascii="Bodoni MT" w:hAnsi="Bodoni MT"/>
          <w:sz w:val="24"/>
          <w:szCs w:val="24"/>
        </w:rPr>
        <w:lastRenderedPageBreak/>
        <w:t xml:space="preserve">eccedentarie </w:t>
      </w:r>
      <w:r w:rsidR="002F1489" w:rsidRPr="00511042">
        <w:rPr>
          <w:rFonts w:ascii="Bodoni MT" w:hAnsi="Bodoni MT"/>
          <w:sz w:val="24"/>
          <w:szCs w:val="24"/>
        </w:rPr>
        <w:t>al</w:t>
      </w:r>
      <w:r w:rsidR="00AA1D1B" w:rsidRPr="00511042">
        <w:rPr>
          <w:rFonts w:ascii="Bodoni MT" w:hAnsi="Bodoni MT"/>
          <w:sz w:val="24"/>
          <w:szCs w:val="24"/>
        </w:rPr>
        <w:t>l</w:t>
      </w:r>
      <w:r w:rsidR="002F1489" w:rsidRPr="00511042">
        <w:rPr>
          <w:rFonts w:ascii="Bodoni MT" w:hAnsi="Bodoni MT"/>
          <w:sz w:val="24"/>
          <w:szCs w:val="24"/>
        </w:rPr>
        <w:t xml:space="preserve">’obiettivo </w:t>
      </w:r>
      <w:r w:rsidR="004400F8" w:rsidRPr="00511042">
        <w:rPr>
          <w:rFonts w:ascii="Bodoni MT" w:hAnsi="Bodoni MT"/>
          <w:sz w:val="24"/>
          <w:szCs w:val="24"/>
        </w:rPr>
        <w:t xml:space="preserve">sostanziale </w:t>
      </w:r>
      <w:r w:rsidR="003D7DAA" w:rsidRPr="00511042">
        <w:rPr>
          <w:rFonts w:ascii="Bodoni MT" w:hAnsi="Bodoni MT"/>
          <w:sz w:val="24"/>
          <w:szCs w:val="24"/>
        </w:rPr>
        <w:t>del</w:t>
      </w:r>
      <w:r w:rsidR="00AA1D1B" w:rsidRPr="00511042">
        <w:rPr>
          <w:rFonts w:ascii="Bodoni MT" w:hAnsi="Bodoni MT"/>
          <w:sz w:val="24"/>
          <w:szCs w:val="24"/>
        </w:rPr>
        <w:t xml:space="preserve"> </w:t>
      </w:r>
      <w:r w:rsidR="002F1489" w:rsidRPr="00511042">
        <w:rPr>
          <w:rFonts w:ascii="Bodoni MT" w:hAnsi="Bodoni MT"/>
          <w:sz w:val="24"/>
          <w:szCs w:val="24"/>
        </w:rPr>
        <w:t>persegui</w:t>
      </w:r>
      <w:r w:rsidR="003D7DAA" w:rsidRPr="00511042">
        <w:rPr>
          <w:rFonts w:ascii="Bodoni MT" w:hAnsi="Bodoni MT"/>
          <w:sz w:val="24"/>
          <w:szCs w:val="24"/>
        </w:rPr>
        <w:t>mento</w:t>
      </w:r>
      <w:r w:rsidR="002F1489" w:rsidRPr="00511042">
        <w:rPr>
          <w:rFonts w:ascii="Bodoni MT" w:hAnsi="Bodoni MT"/>
          <w:sz w:val="24"/>
          <w:szCs w:val="24"/>
        </w:rPr>
        <w:t xml:space="preserve"> </w:t>
      </w:r>
      <w:r w:rsidR="003D7DAA" w:rsidRPr="00511042">
        <w:rPr>
          <w:rFonts w:ascii="Bodoni MT" w:hAnsi="Bodoni MT"/>
          <w:sz w:val="24"/>
          <w:szCs w:val="24"/>
        </w:rPr>
        <w:t xml:space="preserve">di </w:t>
      </w:r>
      <w:r w:rsidR="005847E8" w:rsidRPr="00511042">
        <w:rPr>
          <w:rFonts w:ascii="Bodoni MT" w:hAnsi="Bodoni MT"/>
          <w:sz w:val="24"/>
          <w:szCs w:val="24"/>
        </w:rPr>
        <w:t xml:space="preserve">una riduzione strutturale </w:t>
      </w:r>
      <w:r w:rsidR="00E86D66" w:rsidRPr="00511042">
        <w:rPr>
          <w:rFonts w:ascii="Bodoni MT" w:hAnsi="Bodoni MT"/>
          <w:sz w:val="24"/>
          <w:szCs w:val="24"/>
        </w:rPr>
        <w:t xml:space="preserve">e duratura </w:t>
      </w:r>
      <w:r w:rsidR="005847E8" w:rsidRPr="00511042">
        <w:rPr>
          <w:rFonts w:ascii="Bodoni MT" w:hAnsi="Bodoni MT"/>
          <w:sz w:val="24"/>
          <w:szCs w:val="24"/>
        </w:rPr>
        <w:t xml:space="preserve">della </w:t>
      </w:r>
      <w:r w:rsidR="00E86D66" w:rsidRPr="00511042">
        <w:rPr>
          <w:rFonts w:ascii="Bodoni MT" w:hAnsi="Bodoni MT"/>
          <w:sz w:val="24"/>
          <w:szCs w:val="24"/>
        </w:rPr>
        <w:t>spesa</w:t>
      </w:r>
      <w:r w:rsidR="005847E8" w:rsidRPr="00511042">
        <w:rPr>
          <w:rFonts w:ascii="Bodoni MT" w:hAnsi="Bodoni MT"/>
          <w:sz w:val="24"/>
          <w:szCs w:val="24"/>
        </w:rPr>
        <w:t xml:space="preserve"> del personale</w:t>
      </w:r>
      <w:r w:rsidR="00E86D66" w:rsidRPr="00511042">
        <w:rPr>
          <w:rFonts w:ascii="Bodoni MT" w:hAnsi="Bodoni MT"/>
          <w:sz w:val="24"/>
          <w:szCs w:val="24"/>
        </w:rPr>
        <w:t xml:space="preserve">. </w:t>
      </w:r>
      <w:r w:rsidR="00273696" w:rsidRPr="00511042">
        <w:rPr>
          <w:rFonts w:ascii="Bodoni MT" w:hAnsi="Bodoni MT"/>
          <w:sz w:val="24"/>
          <w:szCs w:val="24"/>
        </w:rPr>
        <w:t xml:space="preserve">Pertanto, tra le diverse soluzioni astrattamente possibili in termini di assetto organizzativo, vanno prescelte quelle che </w:t>
      </w:r>
      <w:r w:rsidR="00D10C5E" w:rsidRPr="00511042">
        <w:rPr>
          <w:rFonts w:ascii="Bodoni MT" w:hAnsi="Bodoni MT"/>
          <w:sz w:val="24"/>
          <w:szCs w:val="24"/>
        </w:rPr>
        <w:t xml:space="preserve">maggiormente </w:t>
      </w:r>
      <w:r w:rsidR="00273696" w:rsidRPr="00511042">
        <w:rPr>
          <w:rFonts w:ascii="Bodoni MT" w:hAnsi="Bodoni MT"/>
          <w:sz w:val="24"/>
          <w:szCs w:val="24"/>
        </w:rPr>
        <w:t>siano coerenti con tale risultato</w:t>
      </w:r>
      <w:r w:rsidR="003D7DAA" w:rsidRPr="00511042">
        <w:rPr>
          <w:rFonts w:ascii="Bodoni MT" w:hAnsi="Bodoni MT"/>
          <w:sz w:val="24"/>
          <w:szCs w:val="24"/>
        </w:rPr>
        <w:t xml:space="preserve"> di contenimento della spesa</w:t>
      </w:r>
      <w:r w:rsidR="00EE1847" w:rsidRPr="00511042">
        <w:rPr>
          <w:rFonts w:ascii="Bodoni MT" w:hAnsi="Bodoni MT"/>
          <w:sz w:val="24"/>
          <w:szCs w:val="24"/>
        </w:rPr>
        <w:t>.</w:t>
      </w:r>
      <w:r w:rsidR="00273696" w:rsidRPr="00511042">
        <w:rPr>
          <w:rFonts w:ascii="Bodoni MT" w:hAnsi="Bodoni MT"/>
          <w:sz w:val="24"/>
          <w:szCs w:val="24"/>
        </w:rPr>
        <w:t xml:space="preserve"> </w:t>
      </w:r>
      <w:r w:rsidR="00E86D66" w:rsidRPr="00511042">
        <w:rPr>
          <w:rFonts w:ascii="Bodoni MT" w:hAnsi="Bodoni MT"/>
          <w:sz w:val="24"/>
          <w:szCs w:val="24"/>
        </w:rPr>
        <w:t xml:space="preserve">Ciò tanto più ove la dichiarazione di esubero sia determinata da ragioni finanziarie piuttosto che funzionali, ed il Comune versi in condizioni di particolare criticità </w:t>
      </w:r>
      <w:r w:rsidR="002F1489" w:rsidRPr="00511042">
        <w:rPr>
          <w:rFonts w:ascii="Bodoni MT" w:hAnsi="Bodoni MT"/>
          <w:sz w:val="24"/>
          <w:szCs w:val="24"/>
        </w:rPr>
        <w:t xml:space="preserve">finanziaria </w:t>
      </w:r>
      <w:r w:rsidR="00E86D66" w:rsidRPr="00511042">
        <w:rPr>
          <w:rFonts w:ascii="Bodoni MT" w:hAnsi="Bodoni MT"/>
          <w:sz w:val="24"/>
          <w:szCs w:val="24"/>
        </w:rPr>
        <w:t xml:space="preserve">(come </w:t>
      </w:r>
      <w:r w:rsidR="00AA1D1B" w:rsidRPr="00511042">
        <w:rPr>
          <w:rFonts w:ascii="Bodoni MT" w:hAnsi="Bodoni MT"/>
          <w:sz w:val="24"/>
          <w:szCs w:val="24"/>
        </w:rPr>
        <w:t>dimostra</w:t>
      </w:r>
      <w:r w:rsidR="00E86D66" w:rsidRPr="00511042">
        <w:rPr>
          <w:rFonts w:ascii="Bodoni MT" w:hAnsi="Bodoni MT"/>
          <w:sz w:val="24"/>
          <w:szCs w:val="24"/>
        </w:rPr>
        <w:t xml:space="preserve">, nel caso </w:t>
      </w:r>
      <w:r w:rsidR="00AA1D1B" w:rsidRPr="00511042">
        <w:rPr>
          <w:rFonts w:ascii="Bodoni MT" w:hAnsi="Bodoni MT"/>
          <w:sz w:val="24"/>
          <w:szCs w:val="24"/>
        </w:rPr>
        <w:t xml:space="preserve">di specie, </w:t>
      </w:r>
      <w:r w:rsidR="00E86D66" w:rsidRPr="00511042">
        <w:rPr>
          <w:rFonts w:ascii="Bodoni MT" w:hAnsi="Bodoni MT"/>
          <w:sz w:val="24"/>
          <w:szCs w:val="24"/>
        </w:rPr>
        <w:t>la circostanza del ricorso alla procedura di riequilibrio</w:t>
      </w:r>
      <w:r w:rsidR="002F1489" w:rsidRPr="00511042">
        <w:rPr>
          <w:rFonts w:ascii="Bodoni MT" w:hAnsi="Bodoni MT"/>
          <w:sz w:val="24"/>
          <w:szCs w:val="24"/>
        </w:rPr>
        <w:t>,</w:t>
      </w:r>
      <w:r w:rsidR="00AA1D1B" w:rsidRPr="00511042">
        <w:rPr>
          <w:rFonts w:ascii="Bodoni MT" w:hAnsi="Bodoni MT"/>
          <w:sz w:val="24"/>
          <w:szCs w:val="24"/>
        </w:rPr>
        <w:t xml:space="preserve"> attualmente in </w:t>
      </w:r>
      <w:r>
        <w:rPr>
          <w:rFonts w:ascii="Bodoni MT" w:hAnsi="Bodoni MT"/>
          <w:sz w:val="24"/>
          <w:szCs w:val="24"/>
        </w:rPr>
        <w:t>corso d’</w:t>
      </w:r>
      <w:r w:rsidR="00AA1D1B" w:rsidRPr="00511042">
        <w:rPr>
          <w:rFonts w:ascii="Bodoni MT" w:hAnsi="Bodoni MT"/>
          <w:sz w:val="24"/>
          <w:szCs w:val="24"/>
        </w:rPr>
        <w:t>istruttoria</w:t>
      </w:r>
      <w:r w:rsidR="00E86D66" w:rsidRPr="00511042">
        <w:rPr>
          <w:rFonts w:ascii="Bodoni MT" w:hAnsi="Bodoni MT"/>
          <w:sz w:val="24"/>
          <w:szCs w:val="24"/>
        </w:rPr>
        <w:t>).</w:t>
      </w:r>
    </w:p>
    <w:p w:rsidR="00C26809" w:rsidRPr="00511042" w:rsidRDefault="00C26809" w:rsidP="00302D1C">
      <w:pPr>
        <w:spacing w:before="120" w:after="120" w:line="360" w:lineRule="auto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****</w:t>
      </w:r>
    </w:p>
    <w:p w:rsidR="00C26809" w:rsidRPr="00511042" w:rsidRDefault="00C26809" w:rsidP="00C26809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</w:t>
      </w:r>
      <w:r w:rsidR="002F148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parere della 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Corte dei conti-Sezione regionale di controllo per la Toscana in relazione alla richiesta formulata dal Sindaco del Comune di </w:t>
      </w:r>
      <w:r w:rsidR="00AD1DCF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Cutigliano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trasmessa per il tramite del Consiglio delle autonomie con nota prot. n. </w:t>
      </w:r>
      <w:r w:rsidR="00AD1DCF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3132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/1.13.9 del</w:t>
      </w:r>
      <w:r w:rsidR="006265DB">
        <w:rPr>
          <w:rFonts w:ascii="Bodoni MT" w:eastAsia="Times New Roman" w:hAnsi="Bodoni MT" w:cs="Times New Roman"/>
          <w:sz w:val="24"/>
          <w:szCs w:val="24"/>
          <w:lang w:eastAsia="it-IT"/>
        </w:rPr>
        <w:t>l’</w:t>
      </w:r>
      <w:r w:rsidR="00AD1DCF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11 febbraio 2015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C26809" w:rsidRPr="00511042" w:rsidRDefault="00C26809" w:rsidP="00C26809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verrà trasmessa al Presidente del Consiglio delle autonomie locali della Regione Toscana, e, per conoscenza, al Sindaco del Comune di </w:t>
      </w:r>
      <w:r w:rsidR="00AD1DCF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Cutigliano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e al presidente del relativo Consiglio.</w:t>
      </w:r>
    </w:p>
    <w:p w:rsidR="00C26809" w:rsidRPr="00511042" w:rsidRDefault="00C26809" w:rsidP="00C26809">
      <w:pPr>
        <w:spacing w:after="0" w:line="36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26809" w:rsidRPr="00511042" w:rsidRDefault="00C26809" w:rsidP="00C26809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 w:rsidR="00302D1C">
        <w:rPr>
          <w:rFonts w:ascii="Bodoni MT" w:eastAsia="Times New Roman" w:hAnsi="Bodoni MT" w:cs="Times New Roman"/>
          <w:sz w:val="24"/>
          <w:szCs w:val="24"/>
          <w:lang w:eastAsia="it-IT"/>
        </w:rPr>
        <w:t>9 aprile 2015</w:t>
      </w:r>
    </w:p>
    <w:p w:rsidR="00C26809" w:rsidRPr="00511042" w:rsidRDefault="00C26809" w:rsidP="00C26809">
      <w:pPr>
        <w:spacing w:after="0" w:line="360" w:lineRule="auto"/>
        <w:ind w:firstLine="708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26809" w:rsidRPr="00511042" w:rsidRDefault="00C26809" w:rsidP="00C26809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</w:t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</w:t>
      </w:r>
      <w:r w:rsidR="00F211DF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</w:t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>L’estensore</w:t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I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l presidente</w:t>
      </w:r>
    </w:p>
    <w:p w:rsidR="00C26809" w:rsidRPr="00511042" w:rsidRDefault="00F211DF" w:rsidP="00C26809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51104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f.to </w:t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Gaetano D’Auria</w:t>
      </w:r>
    </w:p>
    <w:p w:rsidR="00C26809" w:rsidRPr="00511042" w:rsidRDefault="00C26809" w:rsidP="00C26809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26809" w:rsidRPr="00511042" w:rsidRDefault="00C26809" w:rsidP="00C26809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26809" w:rsidRPr="00511042" w:rsidRDefault="00C26809" w:rsidP="00C26809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26809" w:rsidRPr="00511042" w:rsidRDefault="00C26809" w:rsidP="00C26809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C26809" w:rsidRPr="00511042" w:rsidRDefault="00C26809" w:rsidP="00C26809">
      <w:pPr>
        <w:spacing w:after="0" w:line="36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il </w:t>
      </w:r>
      <w:r w:rsidR="00302D1C">
        <w:rPr>
          <w:rFonts w:ascii="Bodoni MT" w:eastAsia="Times New Roman" w:hAnsi="Bodoni MT" w:cs="Times New Roman"/>
          <w:sz w:val="24"/>
          <w:szCs w:val="24"/>
          <w:lang w:eastAsia="it-IT"/>
        </w:rPr>
        <w:t>10 aprile 2015</w:t>
      </w:r>
    </w:p>
    <w:p w:rsidR="00C26809" w:rsidRPr="00511042" w:rsidRDefault="00C26809" w:rsidP="00C26809">
      <w:pPr>
        <w:spacing w:after="0" w:line="240" w:lineRule="auto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Il funzionario preposto al Servizio di supporto</w:t>
      </w:r>
    </w:p>
    <w:p w:rsidR="00207C8E" w:rsidRPr="00511042" w:rsidRDefault="00AD1DCF" w:rsidP="002F1489">
      <w:pPr>
        <w:spacing w:after="0" w:line="240" w:lineRule="auto"/>
        <w:ind w:firstLine="709"/>
        <w:jc w:val="both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</w:t>
      </w:r>
      <w:r w:rsidR="00F211DF"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C26809" w:rsidRPr="00511042">
        <w:rPr>
          <w:rFonts w:ascii="Bodoni MT" w:eastAsia="Times New Roman" w:hAnsi="Bodoni MT" w:cs="Times New Roman"/>
          <w:sz w:val="24"/>
          <w:szCs w:val="24"/>
          <w:lang w:eastAsia="it-IT"/>
        </w:rPr>
        <w:t>Claudio Felli</w:t>
      </w:r>
    </w:p>
    <w:sectPr w:rsidR="00207C8E" w:rsidRPr="00511042" w:rsidSect="00511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B6" w:rsidRDefault="002253B6" w:rsidP="00852E44">
      <w:pPr>
        <w:spacing w:after="0" w:line="240" w:lineRule="auto"/>
      </w:pPr>
      <w:r>
        <w:separator/>
      </w:r>
    </w:p>
  </w:endnote>
  <w:endnote w:type="continuationSeparator" w:id="0">
    <w:p w:rsidR="002253B6" w:rsidRDefault="002253B6" w:rsidP="0085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49" w:rsidRDefault="00940C4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418186"/>
      <w:docPartObj>
        <w:docPartGallery w:val="Page Numbers (Bottom of Page)"/>
        <w:docPartUnique/>
      </w:docPartObj>
    </w:sdtPr>
    <w:sdtEndPr/>
    <w:sdtContent>
      <w:p w:rsidR="00940C49" w:rsidRDefault="00940C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F0F">
          <w:rPr>
            <w:noProof/>
          </w:rPr>
          <w:t>1</w:t>
        </w:r>
        <w:r>
          <w:fldChar w:fldCharType="end"/>
        </w:r>
      </w:p>
    </w:sdtContent>
  </w:sdt>
  <w:p w:rsidR="00940C49" w:rsidRDefault="00940C4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49" w:rsidRDefault="00940C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B6" w:rsidRDefault="002253B6" w:rsidP="00852E44">
      <w:pPr>
        <w:spacing w:after="0" w:line="240" w:lineRule="auto"/>
      </w:pPr>
      <w:r>
        <w:separator/>
      </w:r>
    </w:p>
  </w:footnote>
  <w:footnote w:type="continuationSeparator" w:id="0">
    <w:p w:rsidR="002253B6" w:rsidRDefault="002253B6" w:rsidP="0085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49" w:rsidRDefault="00940C4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44" w:rsidRDefault="00852E44">
    <w:pPr>
      <w:pStyle w:val="Intestazione"/>
      <w:jc w:val="right"/>
    </w:pPr>
  </w:p>
  <w:p w:rsidR="00852E44" w:rsidRDefault="00852E4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49" w:rsidRDefault="00940C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BD"/>
    <w:rsid w:val="00087212"/>
    <w:rsid w:val="00145E71"/>
    <w:rsid w:val="00183F0F"/>
    <w:rsid w:val="001F5459"/>
    <w:rsid w:val="00207C8E"/>
    <w:rsid w:val="002253B6"/>
    <w:rsid w:val="00273696"/>
    <w:rsid w:val="002A1573"/>
    <w:rsid w:val="002F1489"/>
    <w:rsid w:val="00302D1C"/>
    <w:rsid w:val="003212F8"/>
    <w:rsid w:val="003D7DAA"/>
    <w:rsid w:val="004400F8"/>
    <w:rsid w:val="00444894"/>
    <w:rsid w:val="00454DAD"/>
    <w:rsid w:val="00511042"/>
    <w:rsid w:val="005847E8"/>
    <w:rsid w:val="00590EDB"/>
    <w:rsid w:val="00597036"/>
    <w:rsid w:val="00616ECD"/>
    <w:rsid w:val="006265DB"/>
    <w:rsid w:val="00852E44"/>
    <w:rsid w:val="00940C49"/>
    <w:rsid w:val="00986897"/>
    <w:rsid w:val="009B24B0"/>
    <w:rsid w:val="00A2450E"/>
    <w:rsid w:val="00A65A7C"/>
    <w:rsid w:val="00AA1D1B"/>
    <w:rsid w:val="00AB1537"/>
    <w:rsid w:val="00AB2E28"/>
    <w:rsid w:val="00AC2052"/>
    <w:rsid w:val="00AD1DCF"/>
    <w:rsid w:val="00B12328"/>
    <w:rsid w:val="00B93ADE"/>
    <w:rsid w:val="00C26809"/>
    <w:rsid w:val="00C4765A"/>
    <w:rsid w:val="00CA616B"/>
    <w:rsid w:val="00D10C5E"/>
    <w:rsid w:val="00D447E5"/>
    <w:rsid w:val="00DB7BBD"/>
    <w:rsid w:val="00E17B0C"/>
    <w:rsid w:val="00E31221"/>
    <w:rsid w:val="00E62238"/>
    <w:rsid w:val="00E86D66"/>
    <w:rsid w:val="00E94678"/>
    <w:rsid w:val="00EE1847"/>
    <w:rsid w:val="00EE4FF2"/>
    <w:rsid w:val="00F211DF"/>
    <w:rsid w:val="00FB23A3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45E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45E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C20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C20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590E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52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E44"/>
  </w:style>
  <w:style w:type="paragraph" w:styleId="Pidipagina">
    <w:name w:val="footer"/>
    <w:basedOn w:val="Normale"/>
    <w:link w:val="PidipaginaCarattere"/>
    <w:uiPriority w:val="99"/>
    <w:unhideWhenUsed/>
    <w:rsid w:val="00852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E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45E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45E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C20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C205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590E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52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E44"/>
  </w:style>
  <w:style w:type="paragraph" w:styleId="Pidipagina">
    <w:name w:val="footer"/>
    <w:basedOn w:val="Normale"/>
    <w:link w:val="PidipaginaCarattere"/>
    <w:uiPriority w:val="99"/>
    <w:unhideWhenUsed/>
    <w:rsid w:val="00852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E4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Antonio</dc:creator>
  <cp:lastModifiedBy>scroppi</cp:lastModifiedBy>
  <cp:revision>2</cp:revision>
  <cp:lastPrinted>2015-04-13T13:22:00Z</cp:lastPrinted>
  <dcterms:created xsi:type="dcterms:W3CDTF">2015-04-13T14:14:00Z</dcterms:created>
  <dcterms:modified xsi:type="dcterms:W3CDTF">2015-04-13T14:14:00Z</dcterms:modified>
</cp:coreProperties>
</file>