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92F" w:rsidRDefault="0010792F" w:rsidP="00E31AEC">
      <w:pPr>
        <w:spacing w:before="0" w:after="0"/>
        <w:ind w:right="98"/>
        <w:rPr>
          <w:rFonts w:ascii="Bodoni MT" w:eastAsia="Times New Roman" w:hAnsi="Bodoni MT" w:cs="Times New Roman"/>
          <w:sz w:val="24"/>
          <w:szCs w:val="24"/>
          <w:lang w:eastAsia="it-IT"/>
        </w:rPr>
      </w:pPr>
      <w:bookmarkStart w:id="0" w:name="_GoBack"/>
      <w:bookmarkEnd w:id="0"/>
    </w:p>
    <w:p w:rsidR="00E31AEC" w:rsidRPr="00426926" w:rsidRDefault="00E31AEC" w:rsidP="00E31AEC">
      <w:pPr>
        <w:spacing w:before="0" w:after="0"/>
        <w:ind w:right="98"/>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Del. n. </w:t>
      </w:r>
      <w:r w:rsidR="00797071">
        <w:rPr>
          <w:rFonts w:ascii="Bodoni MT" w:eastAsia="Times New Roman" w:hAnsi="Bodoni MT" w:cs="Times New Roman"/>
          <w:sz w:val="24"/>
          <w:szCs w:val="24"/>
          <w:lang w:eastAsia="it-IT"/>
        </w:rPr>
        <w:t>444</w:t>
      </w:r>
      <w:r>
        <w:rPr>
          <w:rFonts w:ascii="Bodoni MT" w:eastAsia="Times New Roman" w:hAnsi="Bodoni MT" w:cs="Times New Roman"/>
          <w:sz w:val="24"/>
          <w:szCs w:val="24"/>
          <w:lang w:eastAsia="it-IT"/>
        </w:rPr>
        <w:t>/2015</w:t>
      </w:r>
      <w:r w:rsidR="003F5CE8">
        <w:rPr>
          <w:rFonts w:ascii="Bodoni MT" w:eastAsia="Times New Roman" w:hAnsi="Bodoni MT" w:cs="Times New Roman"/>
          <w:sz w:val="24"/>
          <w:szCs w:val="24"/>
          <w:lang w:eastAsia="it-IT"/>
        </w:rPr>
        <w:t>/PAR</w:t>
      </w:r>
    </w:p>
    <w:p w:rsidR="00E31AEC" w:rsidRPr="00426926" w:rsidRDefault="00E31AEC" w:rsidP="00E31AEC">
      <w:pPr>
        <w:spacing w:before="0" w:after="0"/>
        <w:ind w:left="180" w:right="98" w:firstLine="284"/>
        <w:jc w:val="center"/>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72.5pt" o:ole="">
            <v:imagedata r:id="rId8" o:title=""/>
          </v:shape>
          <o:OLEObject Type="Embed" ProgID="Word.Picture.8" ShapeID="_x0000_i1025" DrawAspect="Content" ObjectID="_1506923509" r:id="rId9"/>
        </w:object>
      </w:r>
    </w:p>
    <w:p w:rsidR="00E31AEC" w:rsidRPr="00426926" w:rsidRDefault="00E31AEC" w:rsidP="00E31AEC">
      <w:pPr>
        <w:spacing w:before="0" w:after="0"/>
        <w:ind w:left="1416" w:right="96" w:firstLine="284"/>
        <w:jc w:val="left"/>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Sezione regionale di controllo per la Toscana</w:t>
      </w:r>
    </w:p>
    <w:p w:rsidR="00E31AEC" w:rsidRPr="00426926" w:rsidRDefault="00E31AEC" w:rsidP="00E31AEC">
      <w:pPr>
        <w:spacing w:before="0" w:after="0"/>
        <w:ind w:right="96" w:firstLine="284"/>
        <w:jc w:val="left"/>
        <w:rPr>
          <w:rFonts w:ascii="Bodoni MT" w:eastAsia="Times New Roman" w:hAnsi="Bodoni MT" w:cs="Times New Roman"/>
          <w:sz w:val="24"/>
          <w:szCs w:val="24"/>
          <w:lang w:eastAsia="it-IT"/>
        </w:rPr>
      </w:pPr>
    </w:p>
    <w:p w:rsidR="00E31AEC" w:rsidRPr="00426926" w:rsidRDefault="00E31AEC" w:rsidP="00E31AEC">
      <w:pPr>
        <w:spacing w:before="0" w:after="0"/>
        <w:ind w:left="284" w:right="96" w:firstLine="284"/>
        <w:jc w:val="left"/>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composta dai magistrati</w:t>
      </w:r>
      <w:r>
        <w:rPr>
          <w:rFonts w:ascii="Bodoni MT" w:eastAsia="Times New Roman" w:hAnsi="Bodoni MT" w:cs="Times New Roman"/>
          <w:sz w:val="24"/>
          <w:szCs w:val="24"/>
          <w:lang w:eastAsia="it-IT"/>
        </w:rPr>
        <w:t>:</w:t>
      </w:r>
    </w:p>
    <w:p w:rsidR="00E31AEC" w:rsidRDefault="00E31AEC" w:rsidP="00E31AEC">
      <w:pPr>
        <w:spacing w:before="0" w:after="0"/>
        <w:ind w:left="284" w:right="98" w:firstLine="708"/>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Roberto TABBITA</w:t>
      </w:r>
      <w:r w:rsidR="002569B0">
        <w:rPr>
          <w:rFonts w:ascii="Bodoni MT" w:eastAsia="Times New Roman" w:hAnsi="Bodoni MT" w:cs="Times New Roman"/>
          <w:sz w:val="24"/>
          <w:szCs w:val="24"/>
          <w:lang w:eastAsia="it-IT"/>
        </w:rPr>
        <w:tab/>
      </w:r>
      <w:r w:rsidR="002569B0">
        <w:rPr>
          <w:rFonts w:ascii="Bodoni MT" w:eastAsia="Times New Roman" w:hAnsi="Bodoni MT" w:cs="Times New Roman"/>
          <w:sz w:val="24"/>
          <w:szCs w:val="24"/>
          <w:lang w:eastAsia="it-IT"/>
        </w:rPr>
        <w:tab/>
      </w:r>
      <w:r w:rsidR="002569B0">
        <w:rPr>
          <w:rFonts w:ascii="Bodoni MT" w:eastAsia="Times New Roman" w:hAnsi="Bodoni MT" w:cs="Times New Roman"/>
          <w:sz w:val="24"/>
          <w:szCs w:val="24"/>
          <w:lang w:eastAsia="it-IT"/>
        </w:rPr>
        <w:tab/>
      </w:r>
      <w:r w:rsidR="002569B0">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presidente</w:t>
      </w:r>
    </w:p>
    <w:p w:rsidR="00E31AEC" w:rsidRPr="00426926" w:rsidRDefault="002569B0" w:rsidP="002569B0">
      <w:pPr>
        <w:tabs>
          <w:tab w:val="left" w:pos="708"/>
          <w:tab w:val="left" w:pos="1416"/>
          <w:tab w:val="left" w:pos="2124"/>
          <w:tab w:val="left" w:pos="2832"/>
          <w:tab w:val="left" w:pos="5670"/>
        </w:tabs>
        <w:spacing w:before="0" w:after="0"/>
        <w:ind w:left="284" w:right="98" w:firstLine="708"/>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Paolo PELUFFO</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00E31AEC" w:rsidRPr="003C08A5">
        <w:rPr>
          <w:rFonts w:ascii="Bodoni MT" w:eastAsia="Times New Roman" w:hAnsi="Bodoni MT" w:cs="Times New Roman"/>
          <w:sz w:val="24"/>
          <w:szCs w:val="24"/>
          <w:lang w:eastAsia="it-IT"/>
        </w:rPr>
        <w:t>consigliere, relatore</w:t>
      </w:r>
    </w:p>
    <w:p w:rsidR="00E31AEC" w:rsidRDefault="00E31AEC" w:rsidP="00E31AEC">
      <w:pPr>
        <w:tabs>
          <w:tab w:val="left" w:pos="5685"/>
        </w:tabs>
        <w:spacing w:before="0" w:after="0"/>
        <w:ind w:left="708" w:right="98"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Nicola BONTEMPO</w:t>
      </w:r>
      <w:r w:rsidR="002569B0">
        <w:rPr>
          <w:rFonts w:ascii="Bodoni MT" w:eastAsia="Times New Roman" w:hAnsi="Bodoni MT" w:cs="Times New Roman"/>
          <w:sz w:val="24"/>
          <w:szCs w:val="24"/>
          <w:lang w:eastAsia="it-IT"/>
        </w:rPr>
        <w:tab/>
      </w:r>
      <w:r w:rsidRPr="00777685">
        <w:rPr>
          <w:rFonts w:ascii="Bodoni MT" w:eastAsia="Times New Roman" w:hAnsi="Bodoni MT" w:cs="Times New Roman"/>
          <w:sz w:val="24"/>
          <w:szCs w:val="24"/>
          <w:lang w:eastAsia="it-IT"/>
        </w:rPr>
        <w:t>consigliere</w:t>
      </w:r>
    </w:p>
    <w:p w:rsidR="00E31AEC" w:rsidRPr="00426926" w:rsidRDefault="00E31AEC" w:rsidP="00E31AEC">
      <w:pPr>
        <w:spacing w:before="0" w:after="0"/>
        <w:ind w:left="708" w:right="98"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Emilia TRISCIUOGLIO</w:t>
      </w:r>
      <w:r w:rsidRPr="00426926">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consigliere</w:t>
      </w:r>
    </w:p>
    <w:p w:rsidR="00E31AEC" w:rsidRDefault="00E31AEC" w:rsidP="00E31AEC">
      <w:pPr>
        <w:spacing w:before="0" w:after="0"/>
        <w:ind w:left="708" w:right="98" w:firstLine="284"/>
        <w:rPr>
          <w:rFonts w:ascii="Bodoni MT" w:eastAsia="Times New Roman" w:hAnsi="Bodoni MT" w:cs="Times New Roman"/>
          <w:sz w:val="24"/>
          <w:szCs w:val="24"/>
          <w:lang w:eastAsia="it-IT"/>
        </w:rPr>
      </w:pPr>
      <w:r w:rsidRPr="009E7CDF">
        <w:rPr>
          <w:rFonts w:ascii="Bodoni MT" w:eastAsia="Times New Roman" w:hAnsi="Bodoni MT" w:cs="Times New Roman"/>
          <w:sz w:val="24"/>
          <w:szCs w:val="24"/>
          <w:lang w:eastAsia="it-IT"/>
        </w:rPr>
        <w:t>Laura D’AMBROSIO</w:t>
      </w:r>
      <w:r w:rsidRPr="009E7CDF">
        <w:rPr>
          <w:rFonts w:ascii="Bodoni MT" w:eastAsia="Times New Roman" w:hAnsi="Bodoni MT" w:cs="Times New Roman"/>
          <w:sz w:val="24"/>
          <w:szCs w:val="24"/>
          <w:lang w:eastAsia="it-IT"/>
        </w:rPr>
        <w:tab/>
      </w:r>
      <w:r w:rsidR="002569B0">
        <w:rPr>
          <w:rFonts w:ascii="Bodoni MT" w:eastAsia="Times New Roman" w:hAnsi="Bodoni MT" w:cs="Times New Roman"/>
          <w:sz w:val="24"/>
          <w:szCs w:val="24"/>
          <w:lang w:eastAsia="it-IT"/>
        </w:rPr>
        <w:tab/>
      </w:r>
      <w:r w:rsidR="002569B0">
        <w:rPr>
          <w:rFonts w:ascii="Bodoni MT" w:eastAsia="Times New Roman" w:hAnsi="Bodoni MT" w:cs="Times New Roman"/>
          <w:sz w:val="24"/>
          <w:szCs w:val="24"/>
          <w:lang w:eastAsia="it-IT"/>
        </w:rPr>
        <w:tab/>
      </w:r>
      <w:r w:rsidR="002569B0">
        <w:rPr>
          <w:rFonts w:ascii="Bodoni MT" w:eastAsia="Times New Roman" w:hAnsi="Bodoni MT" w:cs="Times New Roman"/>
          <w:sz w:val="24"/>
          <w:szCs w:val="24"/>
          <w:lang w:eastAsia="it-IT"/>
        </w:rPr>
        <w:tab/>
      </w:r>
      <w:r w:rsidRPr="009E7CDF">
        <w:rPr>
          <w:rFonts w:ascii="Bodoni MT" w:eastAsia="Times New Roman" w:hAnsi="Bodoni MT" w:cs="Times New Roman"/>
          <w:sz w:val="24"/>
          <w:szCs w:val="24"/>
          <w:lang w:eastAsia="it-IT"/>
        </w:rPr>
        <w:t>consigliere</w:t>
      </w:r>
    </w:p>
    <w:p w:rsidR="00E31AEC" w:rsidRPr="00A952EA" w:rsidRDefault="00E31AEC" w:rsidP="00E31AEC">
      <w:pPr>
        <w:spacing w:before="0" w:after="0"/>
        <w:ind w:left="708" w:right="98" w:firstLine="284"/>
        <w:rPr>
          <w:rFonts w:ascii="Bodoni MT" w:eastAsia="Times New Roman" w:hAnsi="Bodoni MT" w:cs="Times New Roman"/>
          <w:sz w:val="24"/>
          <w:szCs w:val="24"/>
          <w:lang w:eastAsia="it-IT"/>
        </w:rPr>
      </w:pPr>
      <w:r w:rsidRPr="00A952EA">
        <w:rPr>
          <w:rFonts w:ascii="Bodoni MT" w:eastAsia="Times New Roman" w:hAnsi="Bodoni MT" w:cs="Times New Roman"/>
          <w:sz w:val="24"/>
          <w:szCs w:val="24"/>
          <w:lang w:eastAsia="it-IT"/>
        </w:rPr>
        <w:t>Marco BONCOMPAGNI</w:t>
      </w:r>
      <w:r w:rsidRPr="00A952EA">
        <w:rPr>
          <w:rFonts w:ascii="Bodoni MT" w:eastAsia="Times New Roman" w:hAnsi="Bodoni MT" w:cs="Times New Roman"/>
          <w:sz w:val="24"/>
          <w:szCs w:val="24"/>
          <w:lang w:eastAsia="it-IT"/>
        </w:rPr>
        <w:tab/>
      </w:r>
      <w:r w:rsidRPr="00A952EA">
        <w:rPr>
          <w:rFonts w:ascii="Bodoni MT" w:eastAsia="Times New Roman" w:hAnsi="Bodoni MT" w:cs="Times New Roman"/>
          <w:sz w:val="24"/>
          <w:szCs w:val="24"/>
          <w:lang w:eastAsia="it-IT"/>
        </w:rPr>
        <w:tab/>
      </w:r>
      <w:r w:rsidRPr="00A952EA">
        <w:rPr>
          <w:rFonts w:ascii="Bodoni MT" w:eastAsia="Times New Roman" w:hAnsi="Bodoni MT" w:cs="Times New Roman"/>
          <w:sz w:val="24"/>
          <w:szCs w:val="24"/>
          <w:lang w:eastAsia="it-IT"/>
        </w:rPr>
        <w:tab/>
      </w:r>
      <w:r w:rsidRPr="00A952EA">
        <w:rPr>
          <w:rFonts w:ascii="Bodoni MT" w:eastAsia="Times New Roman" w:hAnsi="Bodoni MT" w:cs="Times New Roman"/>
          <w:sz w:val="24"/>
          <w:szCs w:val="24"/>
          <w:lang w:eastAsia="it-IT"/>
        </w:rPr>
        <w:tab/>
        <w:t>consigliere</w:t>
      </w:r>
    </w:p>
    <w:p w:rsidR="00E31AEC" w:rsidRPr="00426926" w:rsidRDefault="00E31AEC" w:rsidP="00E31AEC">
      <w:pPr>
        <w:spacing w:before="0" w:after="0"/>
        <w:ind w:left="708" w:right="98" w:firstLine="284"/>
        <w:rPr>
          <w:rFonts w:ascii="Bodoni MT" w:eastAsia="Times New Roman" w:hAnsi="Bodoni MT" w:cs="Times New Roman"/>
          <w:sz w:val="24"/>
          <w:szCs w:val="24"/>
          <w:lang w:eastAsia="it-IT"/>
        </w:rPr>
      </w:pPr>
    </w:p>
    <w:p w:rsidR="00E31AEC" w:rsidRPr="00426926" w:rsidRDefault="00E31AEC" w:rsidP="00E31AEC">
      <w:pPr>
        <w:spacing w:before="0" w:after="0"/>
        <w:ind w:left="284" w:right="96" w:firstLine="284"/>
        <w:jc w:val="left"/>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nell’adunanza del </w:t>
      </w:r>
      <w:r w:rsidR="002569B0">
        <w:rPr>
          <w:rFonts w:ascii="Bodoni MT" w:eastAsia="Times New Roman" w:hAnsi="Bodoni MT" w:cs="Times New Roman"/>
          <w:sz w:val="24"/>
          <w:szCs w:val="24"/>
          <w:lang w:eastAsia="it-IT"/>
        </w:rPr>
        <w:t xml:space="preserve">20 ottobre </w:t>
      </w:r>
      <w:r>
        <w:rPr>
          <w:rFonts w:ascii="Bodoni MT" w:eastAsia="Times New Roman" w:hAnsi="Bodoni MT" w:cs="Times New Roman"/>
          <w:sz w:val="24"/>
          <w:szCs w:val="24"/>
          <w:lang w:eastAsia="it-IT"/>
        </w:rPr>
        <w:t>2015,</w:t>
      </w:r>
    </w:p>
    <w:p w:rsidR="00E31AEC" w:rsidRPr="00426926" w:rsidRDefault="00E31AEC" w:rsidP="00E31AEC">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VISTO l’art. 100, comma 2, della Costituzione;</w:t>
      </w:r>
    </w:p>
    <w:p w:rsidR="00E31AEC" w:rsidRPr="00426926" w:rsidRDefault="00E31AEC" w:rsidP="00E31AEC">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VISTO il testo unico delle leggi sulla Corte dei conti, approvato con r.d. 12 luglio 1934, n. 1214, e successive modificazioni;</w:t>
      </w:r>
    </w:p>
    <w:p w:rsidR="00E31AEC" w:rsidRPr="00426926" w:rsidRDefault="00E31AEC" w:rsidP="00E31AEC">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VISTA la legge 14 gennaio 1994, n. 20, recante disposizioni in materia di giurisdizione e controllo della Corte dei conti, e successive modificazioni; </w:t>
      </w:r>
    </w:p>
    <w:p w:rsidR="00E31AEC" w:rsidRPr="00426926" w:rsidRDefault="00E31AEC" w:rsidP="00E31AEC">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VISTA la legge 5 giugno 2003, n. 131, recante disposizioni per l’adeguamento dell’ordinamento della Repubblica alla legge costituzionale </w:t>
      </w:r>
      <w:smartTag w:uri="urn:schemas-microsoft-com:office:smarttags" w:element="date">
        <w:smartTagPr>
          <w:attr w:name="Year" w:val="2001"/>
          <w:attr w:name="Day" w:val="18"/>
          <w:attr w:name="Month" w:val="10"/>
          <w:attr w:name="ls" w:val="trans"/>
        </w:smartTagPr>
        <w:r w:rsidRPr="00426926">
          <w:rPr>
            <w:rFonts w:ascii="Bodoni MT" w:eastAsia="Times New Roman" w:hAnsi="Bodoni MT" w:cs="Times New Roman"/>
            <w:sz w:val="24"/>
            <w:szCs w:val="24"/>
            <w:lang w:eastAsia="it-IT"/>
          </w:rPr>
          <w:t>18 ottobre 2001</w:t>
        </w:r>
      </w:smartTag>
      <w:r w:rsidRPr="00426926">
        <w:rPr>
          <w:rFonts w:ascii="Bodoni MT" w:eastAsia="Times New Roman" w:hAnsi="Bodoni MT" w:cs="Times New Roman"/>
          <w:sz w:val="24"/>
          <w:szCs w:val="24"/>
          <w:lang w:eastAsia="it-IT"/>
        </w:rPr>
        <w:t>, n. 3;</w:t>
      </w:r>
    </w:p>
    <w:p w:rsidR="00E31AEC" w:rsidRPr="00426926" w:rsidRDefault="00E31AEC" w:rsidP="00E31AEC">
      <w:pPr>
        <w:spacing w:before="120" w:after="120"/>
        <w:ind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VISTO il regolamento 14/2000</w:t>
      </w:r>
      <w:r w:rsidRPr="00426926">
        <w:rPr>
          <w:rFonts w:ascii="Bodoni MT" w:eastAsia="Times New Roman" w:hAnsi="Bodoni MT" w:cs="Times New Roman"/>
          <w:sz w:val="24"/>
          <w:szCs w:val="24"/>
          <w:lang w:eastAsia="it-IT"/>
        </w:rPr>
        <w:t xml:space="preserve"> per l’organizzazione delle funzioni di controllo della Corte dei conti, deliberato dalle Sezioni riunite in data 16 giugno 2000</w:t>
      </w:r>
      <w:r>
        <w:rPr>
          <w:rFonts w:ascii="Bodoni MT" w:eastAsia="Times New Roman" w:hAnsi="Bodoni MT" w:cs="Times New Roman"/>
          <w:sz w:val="24"/>
          <w:szCs w:val="24"/>
          <w:lang w:eastAsia="it-IT"/>
        </w:rPr>
        <w:t>,</w:t>
      </w:r>
      <w:r w:rsidRPr="00426926">
        <w:rPr>
          <w:rFonts w:ascii="Bodoni MT" w:eastAsia="Times New Roman" w:hAnsi="Bodoni MT" w:cs="Times New Roman"/>
          <w:sz w:val="24"/>
          <w:szCs w:val="24"/>
          <w:lang w:eastAsia="it-IT"/>
        </w:rPr>
        <w:t xml:space="preserve"> e successive modifiche; </w:t>
      </w:r>
    </w:p>
    <w:p w:rsidR="00E31AEC" w:rsidRPr="00426926" w:rsidRDefault="00E31AEC" w:rsidP="00E31AEC">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VISTA la convenzione stipulata il 16 giugno 2006 tra la Sezione regionale, il Consiglio delle autonomie locali e la Giunta regionale della Toscana in materia di </w:t>
      </w:r>
      <w:r w:rsidRPr="00426926">
        <w:rPr>
          <w:rFonts w:ascii="Bodoni MT" w:eastAsia="Times New Roman" w:hAnsi="Bodoni MT" w:cs="Times New Roman"/>
          <w:sz w:val="24"/>
          <w:szCs w:val="24"/>
          <w:lang w:eastAsia="it-IT"/>
        </w:rPr>
        <w:lastRenderedPageBreak/>
        <w:t>“ulteriori forme di collaborazione” tra la Corte e le autonomie, ai sensi dell’art. 7, comma 8, della citata legge n. 131 del 2003;</w:t>
      </w:r>
    </w:p>
    <w:p w:rsidR="00E31AEC" w:rsidRDefault="00E31AEC" w:rsidP="00E31AEC">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UDITO il relatore, cons</w:t>
      </w:r>
      <w:r>
        <w:rPr>
          <w:rFonts w:ascii="Bodoni MT" w:eastAsia="Times New Roman" w:hAnsi="Bodoni MT" w:cs="Times New Roman"/>
          <w:sz w:val="24"/>
          <w:szCs w:val="24"/>
          <w:lang w:eastAsia="it-IT"/>
        </w:rPr>
        <w:t>igliere Paolo Peluffo</w:t>
      </w:r>
      <w:r w:rsidRPr="00426926">
        <w:rPr>
          <w:rFonts w:ascii="Bodoni MT" w:eastAsia="Times New Roman" w:hAnsi="Bodoni MT" w:cs="Times New Roman"/>
          <w:sz w:val="24"/>
          <w:szCs w:val="24"/>
          <w:lang w:eastAsia="it-IT"/>
        </w:rPr>
        <w:t>;</w:t>
      </w:r>
    </w:p>
    <w:p w:rsidR="00E31AEC" w:rsidRDefault="00E31AEC" w:rsidP="002569B0">
      <w:pPr>
        <w:spacing w:before="120" w:after="120"/>
        <w:ind w:right="96" w:firstLine="284"/>
        <w:jc w:val="center"/>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PREMESSO</w:t>
      </w:r>
    </w:p>
    <w:p w:rsidR="00EE50B0" w:rsidRDefault="00F93B70" w:rsidP="00F93B70">
      <w:pPr>
        <w:spacing w:before="0" w:after="0"/>
        <w:ind w:right="98"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Con nota prot. 21977/1.13.9 il Consiglio delle autonomie locali </w:t>
      </w:r>
      <w:r w:rsidR="00EE50B0">
        <w:rPr>
          <w:rFonts w:ascii="Bodoni MT" w:eastAsia="Times New Roman" w:hAnsi="Bodoni MT" w:cs="Times New Roman"/>
          <w:sz w:val="24"/>
          <w:szCs w:val="24"/>
          <w:lang w:eastAsia="it-IT"/>
        </w:rPr>
        <w:t>ha inoltrato</w:t>
      </w:r>
      <w:r>
        <w:rPr>
          <w:rFonts w:ascii="Bodoni MT" w:eastAsia="Times New Roman" w:hAnsi="Bodoni MT" w:cs="Times New Roman"/>
          <w:sz w:val="24"/>
          <w:szCs w:val="24"/>
          <w:lang w:eastAsia="it-IT"/>
        </w:rPr>
        <w:t xml:space="preserve"> alla Sezione</w:t>
      </w:r>
      <w:r w:rsidR="00EE50B0">
        <w:rPr>
          <w:rFonts w:ascii="Bodoni MT" w:eastAsia="Times New Roman" w:hAnsi="Bodoni MT" w:cs="Times New Roman"/>
          <w:sz w:val="24"/>
          <w:szCs w:val="24"/>
          <w:lang w:eastAsia="it-IT"/>
        </w:rPr>
        <w:t xml:space="preserve"> una</w:t>
      </w:r>
      <w:r>
        <w:rPr>
          <w:rFonts w:ascii="Bodoni MT" w:eastAsia="Times New Roman" w:hAnsi="Bodoni MT" w:cs="Times New Roman"/>
          <w:sz w:val="24"/>
          <w:szCs w:val="24"/>
          <w:lang w:eastAsia="it-IT"/>
        </w:rPr>
        <w:t xml:space="preserve"> richiesta di parere avanzata dal comune di Carrara. </w:t>
      </w:r>
    </w:p>
    <w:p w:rsidR="00E31AEC" w:rsidRPr="00426926" w:rsidRDefault="00F93B70" w:rsidP="00F93B70">
      <w:pPr>
        <w:spacing w:before="0" w:after="0"/>
        <w:ind w:right="98"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In particolare, l</w:t>
      </w:r>
      <w:r w:rsidR="00F61EAC">
        <w:rPr>
          <w:rFonts w:ascii="Bodoni MT" w:eastAsia="Times New Roman" w:hAnsi="Bodoni MT" w:cs="Times New Roman"/>
          <w:sz w:val="24"/>
          <w:szCs w:val="24"/>
          <w:lang w:eastAsia="it-IT"/>
        </w:rPr>
        <w:t xml:space="preserve">a questione </w:t>
      </w:r>
      <w:r w:rsidR="00546DB1">
        <w:rPr>
          <w:rFonts w:ascii="Bodoni MT" w:eastAsia="Times New Roman" w:hAnsi="Bodoni MT" w:cs="Times New Roman"/>
          <w:sz w:val="24"/>
          <w:szCs w:val="24"/>
          <w:lang w:eastAsia="it-IT"/>
        </w:rPr>
        <w:t>verte</w:t>
      </w:r>
      <w:r w:rsidR="00F61EAC">
        <w:rPr>
          <w:rFonts w:ascii="Bodoni MT" w:eastAsia="Times New Roman" w:hAnsi="Bodoni MT" w:cs="Times New Roman"/>
          <w:sz w:val="24"/>
          <w:szCs w:val="24"/>
          <w:lang w:eastAsia="it-IT"/>
        </w:rPr>
        <w:t xml:space="preserve"> </w:t>
      </w:r>
      <w:r w:rsidR="00546DB1">
        <w:rPr>
          <w:rFonts w:ascii="Bodoni MT" w:eastAsia="Times New Roman" w:hAnsi="Bodoni MT" w:cs="Times New Roman"/>
          <w:sz w:val="24"/>
          <w:szCs w:val="24"/>
          <w:lang w:eastAsia="it-IT"/>
        </w:rPr>
        <w:t>sul</w:t>
      </w:r>
      <w:r>
        <w:rPr>
          <w:rFonts w:ascii="Bodoni MT" w:eastAsia="Times New Roman" w:hAnsi="Bodoni MT" w:cs="Times New Roman"/>
          <w:sz w:val="24"/>
          <w:szCs w:val="24"/>
          <w:lang w:eastAsia="it-IT"/>
        </w:rPr>
        <w:t>la possibilità</w:t>
      </w:r>
      <w:r w:rsidR="000C6CD1">
        <w:rPr>
          <w:rFonts w:ascii="Bodoni MT" w:eastAsia="Times New Roman" w:hAnsi="Bodoni MT" w:cs="Times New Roman"/>
          <w:sz w:val="24"/>
          <w:szCs w:val="24"/>
          <w:lang w:eastAsia="it-IT"/>
        </w:rPr>
        <w:t>,</w:t>
      </w:r>
      <w:r>
        <w:rPr>
          <w:rFonts w:ascii="Bodoni MT" w:eastAsia="Times New Roman" w:hAnsi="Bodoni MT" w:cs="Times New Roman"/>
          <w:sz w:val="24"/>
          <w:szCs w:val="24"/>
          <w:lang w:eastAsia="it-IT"/>
        </w:rPr>
        <w:t xml:space="preserve"> </w:t>
      </w:r>
      <w:r w:rsidR="000C6CD1">
        <w:rPr>
          <w:rFonts w:ascii="Bodoni MT" w:eastAsia="Times New Roman" w:hAnsi="Bodoni MT" w:cs="Times New Roman"/>
          <w:sz w:val="24"/>
          <w:szCs w:val="24"/>
          <w:lang w:eastAsia="it-IT"/>
        </w:rPr>
        <w:t xml:space="preserve">per enti sottoposti al regime di limitazione delle assunzioni e che abbiano rispettato il patto di stabilità, </w:t>
      </w:r>
      <w:r>
        <w:rPr>
          <w:rFonts w:ascii="Bodoni MT" w:eastAsia="Times New Roman" w:hAnsi="Bodoni MT" w:cs="Times New Roman"/>
          <w:sz w:val="24"/>
          <w:szCs w:val="24"/>
          <w:lang w:eastAsia="it-IT"/>
        </w:rPr>
        <w:t>di effettuare mobilità per interscambio tra dipendenti comunali in possesso del profilo professionale di agente di polizia municipale, avuto riguardo al disposto dell’art. 5</w:t>
      </w:r>
      <w:r w:rsidR="008133B7">
        <w:rPr>
          <w:rFonts w:ascii="Bodoni MT" w:eastAsia="Times New Roman" w:hAnsi="Bodoni MT" w:cs="Times New Roman"/>
          <w:sz w:val="24"/>
          <w:szCs w:val="24"/>
          <w:lang w:eastAsia="it-IT"/>
        </w:rPr>
        <w:t>, comma</w:t>
      </w:r>
      <w:r w:rsidR="00820582">
        <w:rPr>
          <w:rFonts w:ascii="Bodoni MT" w:eastAsia="Times New Roman" w:hAnsi="Bodoni MT" w:cs="Times New Roman"/>
          <w:sz w:val="24"/>
          <w:szCs w:val="24"/>
          <w:lang w:eastAsia="it-IT"/>
        </w:rPr>
        <w:t xml:space="preserve"> 6</w:t>
      </w:r>
      <w:r w:rsidR="008133B7">
        <w:rPr>
          <w:rFonts w:ascii="Bodoni MT" w:eastAsia="Times New Roman" w:hAnsi="Bodoni MT" w:cs="Times New Roman"/>
          <w:sz w:val="24"/>
          <w:szCs w:val="24"/>
          <w:lang w:eastAsia="it-IT"/>
        </w:rPr>
        <w:t>,</w:t>
      </w:r>
      <w:r w:rsidR="00820582">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 xml:space="preserve">del d.l. </w:t>
      </w:r>
      <w:r w:rsidR="008F6A89">
        <w:rPr>
          <w:rFonts w:ascii="Bodoni MT" w:eastAsia="Times New Roman" w:hAnsi="Bodoni MT" w:cs="Times New Roman"/>
          <w:sz w:val="24"/>
          <w:szCs w:val="24"/>
          <w:lang w:eastAsia="it-IT"/>
        </w:rPr>
        <w:t xml:space="preserve">19 giugno </w:t>
      </w:r>
      <w:r>
        <w:rPr>
          <w:rFonts w:ascii="Bodoni MT" w:eastAsia="Times New Roman" w:hAnsi="Bodoni MT" w:cs="Times New Roman"/>
          <w:sz w:val="24"/>
          <w:szCs w:val="24"/>
          <w:lang w:eastAsia="it-IT"/>
        </w:rPr>
        <w:t>2015</w:t>
      </w:r>
      <w:r w:rsidR="001A6BEF">
        <w:rPr>
          <w:rFonts w:ascii="Bodoni MT" w:eastAsia="Times New Roman" w:hAnsi="Bodoni MT" w:cs="Times New Roman"/>
          <w:sz w:val="24"/>
          <w:szCs w:val="24"/>
          <w:lang w:eastAsia="it-IT"/>
        </w:rPr>
        <w:t>,</w:t>
      </w:r>
      <w:r w:rsidR="008F6A89">
        <w:rPr>
          <w:rFonts w:ascii="Bodoni MT" w:eastAsia="Times New Roman" w:hAnsi="Bodoni MT" w:cs="Times New Roman"/>
          <w:sz w:val="24"/>
          <w:szCs w:val="24"/>
          <w:lang w:eastAsia="it-IT"/>
        </w:rPr>
        <w:t xml:space="preserve"> n. 78</w:t>
      </w:r>
      <w:r w:rsidR="007F554F">
        <w:rPr>
          <w:rFonts w:ascii="Bodoni MT" w:eastAsia="Times New Roman" w:hAnsi="Bodoni MT" w:cs="Times New Roman"/>
          <w:sz w:val="24"/>
          <w:szCs w:val="24"/>
          <w:lang w:eastAsia="it-IT"/>
        </w:rPr>
        <w:t>. Tale norma dispone che</w:t>
      </w:r>
      <w:r w:rsidR="00AC1EB0">
        <w:rPr>
          <w:rFonts w:ascii="Bodoni MT" w:eastAsia="Times New Roman" w:hAnsi="Bodoni MT" w:cs="Times New Roman"/>
          <w:sz w:val="24"/>
          <w:szCs w:val="24"/>
          <w:lang w:eastAsia="it-IT"/>
        </w:rPr>
        <w:t>,</w:t>
      </w:r>
      <w:r w:rsidR="007F554F">
        <w:rPr>
          <w:rFonts w:ascii="Bodoni MT" w:eastAsia="Times New Roman" w:hAnsi="Bodoni MT" w:cs="Times New Roman"/>
          <w:sz w:val="24"/>
          <w:szCs w:val="24"/>
          <w:lang w:eastAsia="it-IT"/>
        </w:rPr>
        <w:t xml:space="preserve"> </w:t>
      </w:r>
      <w:r w:rsidR="00AC1EB0">
        <w:rPr>
          <w:rFonts w:ascii="Bodoni MT" w:eastAsia="Times New Roman" w:hAnsi="Bodoni MT" w:cs="Times New Roman"/>
          <w:sz w:val="24"/>
          <w:szCs w:val="24"/>
          <w:lang w:eastAsia="it-IT"/>
        </w:rPr>
        <w:t>f</w:t>
      </w:r>
      <w:r w:rsidR="00D261E4" w:rsidRPr="00D261E4">
        <w:rPr>
          <w:rFonts w:ascii="Bodoni MT" w:eastAsia="Times New Roman" w:hAnsi="Bodoni MT" w:cs="Times New Roman"/>
          <w:sz w:val="24"/>
          <w:szCs w:val="24"/>
          <w:lang w:eastAsia="it-IT"/>
        </w:rPr>
        <w:t xml:space="preserve">ino al completo assorbimento del personale </w:t>
      </w:r>
      <w:r w:rsidR="00AC1EB0">
        <w:rPr>
          <w:rFonts w:ascii="Bodoni MT" w:eastAsia="Times New Roman" w:hAnsi="Bodoni MT" w:cs="Times New Roman"/>
          <w:sz w:val="24"/>
          <w:szCs w:val="24"/>
          <w:lang w:eastAsia="it-IT"/>
        </w:rPr>
        <w:t>appartenente ai C</w:t>
      </w:r>
      <w:r w:rsidR="00AC1EB0" w:rsidRPr="00AC1EB0">
        <w:rPr>
          <w:rFonts w:ascii="Bodoni MT" w:eastAsia="Times New Roman" w:hAnsi="Bodoni MT" w:cs="Times New Roman"/>
          <w:sz w:val="24"/>
          <w:szCs w:val="24"/>
          <w:lang w:eastAsia="it-IT"/>
        </w:rPr>
        <w:t>orpi ed ai servizi di polizia provinciale</w:t>
      </w:r>
      <w:r w:rsidR="00D261E4" w:rsidRPr="00D261E4">
        <w:rPr>
          <w:rFonts w:ascii="Bodoni MT" w:eastAsia="Times New Roman" w:hAnsi="Bodoni MT" w:cs="Times New Roman"/>
          <w:sz w:val="24"/>
          <w:szCs w:val="24"/>
          <w:lang w:eastAsia="it-IT"/>
        </w:rPr>
        <w:t xml:space="preserve">, </w:t>
      </w:r>
      <w:r w:rsidR="00AC1EB0" w:rsidRPr="00AC1EB0">
        <w:rPr>
          <w:rFonts w:ascii="Bodoni MT" w:eastAsia="Times New Roman" w:hAnsi="Bodoni MT" w:cs="Times New Roman"/>
          <w:sz w:val="24"/>
          <w:szCs w:val="24"/>
          <w:lang w:eastAsia="it-IT"/>
        </w:rPr>
        <w:t>“</w:t>
      </w:r>
      <w:r w:rsidR="00D261E4" w:rsidRPr="00D261E4">
        <w:rPr>
          <w:rFonts w:ascii="Bodoni MT" w:eastAsia="Times New Roman" w:hAnsi="Bodoni MT" w:cs="Times New Roman"/>
          <w:sz w:val="24"/>
          <w:szCs w:val="24"/>
          <w:lang w:eastAsia="it-IT"/>
        </w:rPr>
        <w:t>è fatto divieto agli enti locali, a pena di nullità delle relative assunzioni, di reclutare personale con qualsivoglia tipologia contrattuale per lo svolgimento di funzioni di polizia locale. Sono fatte salve le assunzioni di personale a tempo determinato effettuate dopo la data di entrata in vigore del presente decreto, anche se anteriormente alla data di entrata in vigore della relativa legge di conversione, per lo svolgimento di funzioni di polizia locale, esclusivamente per esigenze di carattere strettamente stagionale e comunque per periodi non superiori a cinque mesi ne</w:t>
      </w:r>
      <w:r w:rsidR="00D261E4">
        <w:rPr>
          <w:rFonts w:ascii="Bodoni MT" w:eastAsia="Times New Roman" w:hAnsi="Bodoni MT" w:cs="Times New Roman"/>
          <w:sz w:val="24"/>
          <w:szCs w:val="24"/>
          <w:lang w:eastAsia="it-IT"/>
        </w:rPr>
        <w:t>ll'anno solare, non prorogabili”</w:t>
      </w:r>
      <w:r>
        <w:rPr>
          <w:rFonts w:ascii="Bodoni MT" w:eastAsia="Times New Roman" w:hAnsi="Bodoni MT" w:cs="Times New Roman"/>
          <w:sz w:val="24"/>
          <w:szCs w:val="24"/>
          <w:lang w:eastAsia="it-IT"/>
        </w:rPr>
        <w:t>.</w:t>
      </w:r>
    </w:p>
    <w:p w:rsidR="00E31AEC" w:rsidRDefault="00E31AEC" w:rsidP="00DE4E19">
      <w:pPr>
        <w:spacing w:before="120" w:after="120"/>
        <w:ind w:firstLine="284"/>
        <w:jc w:val="center"/>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CONSIDERATO</w:t>
      </w:r>
    </w:p>
    <w:p w:rsidR="00097EA6" w:rsidRDefault="008B317E" w:rsidP="00075141">
      <w:pPr>
        <w:spacing w:before="120" w:after="120"/>
        <w:ind w:firstLine="340"/>
      </w:pPr>
      <w:r w:rsidRPr="008B317E">
        <w:rPr>
          <w:rFonts w:ascii="Bodoni MT" w:eastAsia="Times New Roman" w:hAnsi="Bodoni MT" w:cs="Times New Roman"/>
          <w:sz w:val="24"/>
          <w:szCs w:val="24"/>
          <w:lang w:eastAsia="it-IT"/>
        </w:rPr>
        <w:t>Occorre verificare, in via preliminare, se la richiesta presenti i requisiti di ammissibilità, sia sotto il profilo soggettivo, con riferimento alla legittimazione dell’organo richiedente, sia sotto il profilo oggettivo, concernente l’attinenza alla mate</w:t>
      </w:r>
      <w:r w:rsidR="0020326C">
        <w:rPr>
          <w:rFonts w:ascii="Bodoni MT" w:eastAsia="Times New Roman" w:hAnsi="Bodoni MT" w:cs="Times New Roman"/>
          <w:sz w:val="24"/>
          <w:szCs w:val="24"/>
          <w:lang w:eastAsia="it-IT"/>
        </w:rPr>
        <w:t xml:space="preserve">ria della contabilità pubblica e </w:t>
      </w:r>
      <w:r w:rsidRPr="008B317E">
        <w:rPr>
          <w:rFonts w:ascii="Bodoni MT" w:eastAsia="Times New Roman" w:hAnsi="Bodoni MT" w:cs="Times New Roman"/>
          <w:sz w:val="24"/>
          <w:szCs w:val="24"/>
          <w:lang w:eastAsia="it-IT"/>
        </w:rPr>
        <w:t>la sussistenza dei caratteri di generalità ed astrattezza.</w:t>
      </w:r>
      <w:r w:rsidR="00075141" w:rsidRPr="00075141">
        <w:t xml:space="preserve"> </w:t>
      </w:r>
    </w:p>
    <w:p w:rsidR="00075141" w:rsidRPr="00435EC0" w:rsidRDefault="00097EA6" w:rsidP="00075141">
      <w:pPr>
        <w:spacing w:before="120" w:after="120"/>
        <w:ind w:firstLine="340"/>
        <w:rPr>
          <w:rFonts w:ascii="Verdana" w:eastAsia="Times New Roman" w:hAnsi="Verdana" w:cs="Times New Roman"/>
          <w:sz w:val="20"/>
          <w:szCs w:val="20"/>
          <w:lang w:eastAsia="it-IT"/>
        </w:rPr>
      </w:pPr>
      <w:r>
        <w:rPr>
          <w:rFonts w:ascii="Bodoni MT" w:eastAsia="Times New Roman" w:hAnsi="Bodoni MT" w:cs="Times New Roman"/>
          <w:sz w:val="24"/>
          <w:szCs w:val="24"/>
          <w:lang w:eastAsia="it-IT"/>
        </w:rPr>
        <w:t>Il requisito soggettivo risulta integrato,</w:t>
      </w:r>
      <w:r w:rsidR="00075141" w:rsidRPr="00075141">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 xml:space="preserve">provenendo </w:t>
      </w:r>
      <w:r w:rsidR="00075141" w:rsidRPr="00075141">
        <w:rPr>
          <w:rFonts w:ascii="Bodoni MT" w:eastAsia="Times New Roman" w:hAnsi="Bodoni MT" w:cs="Times New Roman"/>
          <w:sz w:val="24"/>
          <w:szCs w:val="24"/>
          <w:lang w:eastAsia="it-IT"/>
        </w:rPr>
        <w:t xml:space="preserve">la richiesta </w:t>
      </w:r>
      <w:r>
        <w:rPr>
          <w:rFonts w:ascii="Bodoni MT" w:eastAsia="Times New Roman" w:hAnsi="Bodoni MT" w:cs="Times New Roman"/>
          <w:sz w:val="24"/>
          <w:szCs w:val="24"/>
          <w:lang w:eastAsia="it-IT"/>
        </w:rPr>
        <w:t>da</w:t>
      </w:r>
      <w:r w:rsidR="00D03ABC">
        <w:rPr>
          <w:rFonts w:ascii="Bodoni MT" w:eastAsia="Times New Roman" w:hAnsi="Bodoni MT" w:cs="Times New Roman"/>
          <w:sz w:val="24"/>
          <w:szCs w:val="24"/>
          <w:lang w:eastAsia="it-IT"/>
        </w:rPr>
        <w:t>l sindaco del c</w:t>
      </w:r>
      <w:r w:rsidR="00075141" w:rsidRPr="00075141">
        <w:rPr>
          <w:rFonts w:ascii="Bodoni MT" w:eastAsia="Times New Roman" w:hAnsi="Bodoni MT" w:cs="Times New Roman"/>
          <w:sz w:val="24"/>
          <w:szCs w:val="24"/>
          <w:lang w:eastAsia="it-IT"/>
        </w:rPr>
        <w:t xml:space="preserve">omune, </w:t>
      </w:r>
      <w:r>
        <w:rPr>
          <w:rFonts w:ascii="Bodoni MT" w:eastAsia="Times New Roman" w:hAnsi="Bodoni MT" w:cs="Times New Roman"/>
          <w:sz w:val="24"/>
          <w:szCs w:val="24"/>
          <w:lang w:eastAsia="it-IT"/>
        </w:rPr>
        <w:t>in capo al quale</w:t>
      </w:r>
      <w:r w:rsidR="00075141" w:rsidRPr="00075141">
        <w:rPr>
          <w:rFonts w:ascii="Bodoni MT" w:eastAsia="Times New Roman" w:hAnsi="Bodoni MT" w:cs="Times New Roman"/>
          <w:sz w:val="24"/>
          <w:szCs w:val="24"/>
          <w:lang w:eastAsia="it-IT"/>
        </w:rPr>
        <w:t xml:space="preserve"> è ricondotta la rappresentanza dell’ente</w:t>
      </w:r>
      <w:r>
        <w:rPr>
          <w:rFonts w:ascii="Bodoni MT" w:eastAsia="Times New Roman" w:hAnsi="Bodoni MT" w:cs="Times New Roman"/>
          <w:sz w:val="24"/>
          <w:szCs w:val="24"/>
          <w:lang w:eastAsia="it-IT"/>
        </w:rPr>
        <w:t xml:space="preserve"> ai sensi dell’</w:t>
      </w:r>
      <w:r w:rsidRPr="00097EA6">
        <w:rPr>
          <w:rFonts w:ascii="Bodoni MT" w:eastAsia="Times New Roman" w:hAnsi="Bodoni MT" w:cs="Times New Roman"/>
          <w:sz w:val="24"/>
          <w:szCs w:val="24"/>
          <w:lang w:eastAsia="it-IT"/>
        </w:rPr>
        <w:t>art. 50 Tuel</w:t>
      </w:r>
      <w:r w:rsidR="00075141" w:rsidRPr="00075141">
        <w:rPr>
          <w:rFonts w:ascii="Bodoni MT" w:eastAsia="Times New Roman" w:hAnsi="Bodoni MT" w:cs="Times New Roman"/>
          <w:sz w:val="24"/>
          <w:szCs w:val="24"/>
          <w:lang w:eastAsia="it-IT"/>
        </w:rPr>
        <w:t>.</w:t>
      </w:r>
    </w:p>
    <w:p w:rsidR="00075141" w:rsidRPr="00075141" w:rsidRDefault="00FA7735" w:rsidP="00075141">
      <w:pPr>
        <w:spacing w:before="0" w:after="0"/>
        <w:ind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 xml:space="preserve">La Sezione rileva, inoltre, </w:t>
      </w:r>
      <w:r w:rsidR="00075141" w:rsidRPr="00075141">
        <w:rPr>
          <w:rFonts w:ascii="Bodoni MT" w:eastAsia="Times New Roman" w:hAnsi="Bodoni MT" w:cs="Times New Roman"/>
          <w:sz w:val="24"/>
          <w:szCs w:val="24"/>
          <w:lang w:eastAsia="it-IT"/>
        </w:rPr>
        <w:t xml:space="preserve">l’inerenza </w:t>
      </w:r>
      <w:r w:rsidR="00144DE0">
        <w:rPr>
          <w:rFonts w:ascii="Bodoni MT" w:eastAsia="Times New Roman" w:hAnsi="Bodoni MT" w:cs="Times New Roman"/>
          <w:sz w:val="24"/>
          <w:szCs w:val="24"/>
          <w:lang w:eastAsia="it-IT"/>
        </w:rPr>
        <w:t>del quesito proposto</w:t>
      </w:r>
      <w:r w:rsidR="00075141" w:rsidRPr="00075141">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alla</w:t>
      </w:r>
      <w:r w:rsidR="00075141" w:rsidRPr="00075141">
        <w:rPr>
          <w:rFonts w:ascii="Bodoni MT" w:eastAsia="Times New Roman" w:hAnsi="Bodoni MT" w:cs="Times New Roman"/>
          <w:sz w:val="24"/>
          <w:szCs w:val="24"/>
          <w:lang w:eastAsia="it-IT"/>
        </w:rPr>
        <w:t xml:space="preserve"> contabilità pu</w:t>
      </w:r>
      <w:r>
        <w:rPr>
          <w:rFonts w:ascii="Bodoni MT" w:eastAsia="Times New Roman" w:hAnsi="Bodoni MT" w:cs="Times New Roman"/>
          <w:sz w:val="24"/>
          <w:szCs w:val="24"/>
          <w:lang w:eastAsia="it-IT"/>
        </w:rPr>
        <w:t xml:space="preserve">bblica, </w:t>
      </w:r>
      <w:r w:rsidR="00075141" w:rsidRPr="00075141">
        <w:rPr>
          <w:rFonts w:ascii="Bodoni MT" w:eastAsia="Times New Roman" w:hAnsi="Bodoni MT" w:cs="Times New Roman"/>
          <w:sz w:val="24"/>
          <w:szCs w:val="24"/>
          <w:lang w:eastAsia="it-IT"/>
        </w:rPr>
        <w:t>in quanto atti</w:t>
      </w:r>
      <w:r>
        <w:rPr>
          <w:rFonts w:ascii="Bodoni MT" w:eastAsia="Times New Roman" w:hAnsi="Bodoni MT" w:cs="Times New Roman"/>
          <w:sz w:val="24"/>
          <w:szCs w:val="24"/>
          <w:lang w:eastAsia="it-IT"/>
        </w:rPr>
        <w:t>nente all’</w:t>
      </w:r>
      <w:r w:rsidR="00075141" w:rsidRPr="00075141">
        <w:rPr>
          <w:rFonts w:ascii="Bodoni MT" w:eastAsia="Times New Roman" w:hAnsi="Bodoni MT" w:cs="Times New Roman"/>
          <w:sz w:val="24"/>
          <w:szCs w:val="24"/>
          <w:lang w:eastAsia="it-IT"/>
        </w:rPr>
        <w:t>i</w:t>
      </w:r>
      <w:r w:rsidR="006D1787">
        <w:rPr>
          <w:rFonts w:ascii="Bodoni MT" w:eastAsia="Times New Roman" w:hAnsi="Bodoni MT" w:cs="Times New Roman"/>
          <w:sz w:val="24"/>
          <w:szCs w:val="24"/>
          <w:lang w:eastAsia="it-IT"/>
        </w:rPr>
        <w:t>nterpretazione delle norme che regolano</w:t>
      </w:r>
      <w:r w:rsidR="00075141" w:rsidRPr="00075141">
        <w:rPr>
          <w:rFonts w:ascii="Bodoni MT" w:eastAsia="Times New Roman" w:hAnsi="Bodoni MT" w:cs="Times New Roman"/>
          <w:sz w:val="24"/>
          <w:szCs w:val="24"/>
          <w:lang w:eastAsia="it-IT"/>
        </w:rPr>
        <w:t xml:space="preserve"> l’istituto della mobilità </w:t>
      </w:r>
      <w:r w:rsidR="00620235">
        <w:rPr>
          <w:rFonts w:ascii="Bodoni MT" w:eastAsia="Times New Roman" w:hAnsi="Bodoni MT" w:cs="Times New Roman"/>
          <w:sz w:val="24"/>
          <w:szCs w:val="24"/>
          <w:lang w:eastAsia="it-IT"/>
        </w:rPr>
        <w:t>dei dipendenti</w:t>
      </w:r>
      <w:r>
        <w:rPr>
          <w:rFonts w:ascii="Bodoni MT" w:eastAsia="Times New Roman" w:hAnsi="Bodoni MT" w:cs="Times New Roman"/>
          <w:sz w:val="24"/>
          <w:szCs w:val="24"/>
          <w:lang w:eastAsia="it-IT"/>
        </w:rPr>
        <w:t xml:space="preserve"> di un ente locale</w:t>
      </w:r>
      <w:r w:rsidR="00075141" w:rsidRPr="00075141">
        <w:rPr>
          <w:rFonts w:ascii="Bodoni MT" w:eastAsia="Times New Roman" w:hAnsi="Bodoni MT" w:cs="Times New Roman"/>
          <w:sz w:val="24"/>
          <w:szCs w:val="24"/>
          <w:lang w:eastAsia="it-IT"/>
        </w:rPr>
        <w:t>.</w:t>
      </w:r>
      <w:r w:rsidR="0060595A" w:rsidRPr="0060595A">
        <w:t xml:space="preserve"> </w:t>
      </w:r>
      <w:r w:rsidR="0060595A">
        <w:rPr>
          <w:rFonts w:ascii="Bodoni MT" w:eastAsia="Times New Roman" w:hAnsi="Bodoni MT" w:cs="Times New Roman"/>
          <w:sz w:val="24"/>
          <w:szCs w:val="24"/>
          <w:lang w:eastAsia="it-IT"/>
        </w:rPr>
        <w:t xml:space="preserve">In particolare, </w:t>
      </w:r>
      <w:r w:rsidR="006D1787" w:rsidRPr="006D1787">
        <w:rPr>
          <w:rFonts w:ascii="Bodoni MT" w:eastAsia="Times New Roman" w:hAnsi="Bodoni MT" w:cs="Times New Roman"/>
          <w:sz w:val="24"/>
          <w:szCs w:val="24"/>
          <w:lang w:eastAsia="it-IT"/>
        </w:rPr>
        <w:t xml:space="preserve">la disciplina del personale </w:t>
      </w:r>
      <w:r w:rsidR="00895C7D">
        <w:rPr>
          <w:rFonts w:ascii="Bodoni MT" w:eastAsia="Times New Roman" w:hAnsi="Bodoni MT" w:cs="Times New Roman"/>
          <w:sz w:val="24"/>
          <w:szCs w:val="24"/>
          <w:lang w:eastAsia="it-IT"/>
        </w:rPr>
        <w:t xml:space="preserve">rientra </w:t>
      </w:r>
      <w:r w:rsidR="00C0526A">
        <w:rPr>
          <w:rFonts w:ascii="Bodoni MT" w:eastAsia="Times New Roman" w:hAnsi="Bodoni MT" w:cs="Times New Roman"/>
          <w:sz w:val="24"/>
          <w:szCs w:val="24"/>
          <w:lang w:eastAsia="it-IT"/>
        </w:rPr>
        <w:t>nel</w:t>
      </w:r>
      <w:r w:rsidR="0060595A" w:rsidRPr="0060595A">
        <w:rPr>
          <w:rFonts w:ascii="Bodoni MT" w:eastAsia="Times New Roman" w:hAnsi="Bodoni MT" w:cs="Times New Roman"/>
          <w:sz w:val="24"/>
          <w:szCs w:val="24"/>
          <w:lang w:eastAsia="it-IT"/>
        </w:rPr>
        <w:t xml:space="preserve"> concetto di contabilità pubblica, </w:t>
      </w:r>
      <w:r w:rsidR="00895C7D">
        <w:rPr>
          <w:rFonts w:ascii="Bodoni MT" w:eastAsia="Times New Roman" w:hAnsi="Bodoni MT" w:cs="Times New Roman"/>
          <w:sz w:val="24"/>
          <w:szCs w:val="24"/>
          <w:lang w:eastAsia="it-IT"/>
        </w:rPr>
        <w:t>essendo ad essa</w:t>
      </w:r>
      <w:r w:rsidR="0060595A" w:rsidRPr="0060595A">
        <w:rPr>
          <w:rFonts w:ascii="Bodoni MT" w:eastAsia="Times New Roman" w:hAnsi="Bodoni MT" w:cs="Times New Roman"/>
          <w:sz w:val="24"/>
          <w:szCs w:val="24"/>
          <w:lang w:eastAsia="it-IT"/>
        </w:rPr>
        <w:t xml:space="preserve"> preordinate, per finalità di coordinamento della finanza pubblica e a salvaguardia degli equilibri di bilancio, specifiche misure di contenimento della spesa.</w:t>
      </w:r>
    </w:p>
    <w:p w:rsidR="00E31AEC" w:rsidRDefault="000E35A1" w:rsidP="00075141">
      <w:pPr>
        <w:spacing w:before="0" w:after="0"/>
        <w:ind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L</w:t>
      </w:r>
      <w:r w:rsidR="00075141" w:rsidRPr="00075141">
        <w:rPr>
          <w:rFonts w:ascii="Bodoni MT" w:eastAsia="Times New Roman" w:hAnsi="Bodoni MT" w:cs="Times New Roman"/>
          <w:sz w:val="24"/>
          <w:szCs w:val="24"/>
          <w:lang w:eastAsia="it-IT"/>
        </w:rPr>
        <w:t xml:space="preserve">a richiesta in esame </w:t>
      </w:r>
      <w:r w:rsidR="00144DE0">
        <w:rPr>
          <w:rFonts w:ascii="Bodoni MT" w:eastAsia="Times New Roman" w:hAnsi="Bodoni MT" w:cs="Times New Roman"/>
          <w:sz w:val="24"/>
          <w:szCs w:val="24"/>
          <w:lang w:eastAsia="it-IT"/>
        </w:rPr>
        <w:t>presenta</w:t>
      </w:r>
      <w:r>
        <w:rPr>
          <w:rFonts w:ascii="Bodoni MT" w:eastAsia="Times New Roman" w:hAnsi="Bodoni MT" w:cs="Times New Roman"/>
          <w:sz w:val="24"/>
          <w:szCs w:val="24"/>
          <w:lang w:eastAsia="it-IT"/>
        </w:rPr>
        <w:t xml:space="preserve"> anche</w:t>
      </w:r>
      <w:r w:rsidR="00144DE0">
        <w:rPr>
          <w:rFonts w:ascii="Bodoni MT" w:eastAsia="Times New Roman" w:hAnsi="Bodoni MT" w:cs="Times New Roman"/>
          <w:sz w:val="24"/>
          <w:szCs w:val="24"/>
          <w:lang w:eastAsia="it-IT"/>
        </w:rPr>
        <w:t xml:space="preserve"> i </w:t>
      </w:r>
      <w:r w:rsidR="00075141" w:rsidRPr="00075141">
        <w:rPr>
          <w:rFonts w:ascii="Bodoni MT" w:eastAsia="Times New Roman" w:hAnsi="Bodoni MT" w:cs="Times New Roman"/>
          <w:sz w:val="24"/>
          <w:szCs w:val="24"/>
          <w:lang w:eastAsia="it-IT"/>
        </w:rPr>
        <w:t>caratter</w:t>
      </w:r>
      <w:r w:rsidR="00144DE0">
        <w:rPr>
          <w:rFonts w:ascii="Bodoni MT" w:eastAsia="Times New Roman" w:hAnsi="Bodoni MT" w:cs="Times New Roman"/>
          <w:sz w:val="24"/>
          <w:szCs w:val="24"/>
          <w:lang w:eastAsia="it-IT"/>
        </w:rPr>
        <w:t>i</w:t>
      </w:r>
      <w:r w:rsidR="00075141" w:rsidRPr="00075141">
        <w:rPr>
          <w:rFonts w:ascii="Bodoni MT" w:eastAsia="Times New Roman" w:hAnsi="Bodoni MT" w:cs="Times New Roman"/>
          <w:sz w:val="24"/>
          <w:szCs w:val="24"/>
          <w:lang w:eastAsia="it-IT"/>
        </w:rPr>
        <w:t xml:space="preserve"> </w:t>
      </w:r>
      <w:r w:rsidR="00144DE0">
        <w:rPr>
          <w:rFonts w:ascii="Bodoni MT" w:eastAsia="Times New Roman" w:hAnsi="Bodoni MT" w:cs="Times New Roman"/>
          <w:sz w:val="24"/>
          <w:szCs w:val="24"/>
          <w:lang w:eastAsia="it-IT"/>
        </w:rPr>
        <w:t>di</w:t>
      </w:r>
      <w:r w:rsidR="00075141" w:rsidRPr="00075141">
        <w:rPr>
          <w:rFonts w:ascii="Bodoni MT" w:eastAsia="Times New Roman" w:hAnsi="Bodoni MT" w:cs="Times New Roman"/>
          <w:sz w:val="24"/>
          <w:szCs w:val="24"/>
          <w:lang w:eastAsia="it-IT"/>
        </w:rPr>
        <w:t xml:space="preserve"> astrattezza e generalità</w:t>
      </w:r>
      <w:r w:rsidR="002F6DDA">
        <w:rPr>
          <w:rFonts w:ascii="Bodoni MT" w:eastAsia="Times New Roman" w:hAnsi="Bodoni MT" w:cs="Times New Roman"/>
          <w:sz w:val="24"/>
          <w:szCs w:val="24"/>
          <w:lang w:eastAsia="it-IT"/>
        </w:rPr>
        <w:t>:</w:t>
      </w:r>
      <w:r w:rsidR="00B16380">
        <w:rPr>
          <w:rFonts w:ascii="Bodoni MT" w:eastAsia="Times New Roman" w:hAnsi="Bodoni MT" w:cs="Times New Roman"/>
          <w:sz w:val="24"/>
          <w:szCs w:val="24"/>
          <w:lang w:eastAsia="it-IT"/>
        </w:rPr>
        <w:t xml:space="preserve"> risu</w:t>
      </w:r>
      <w:r w:rsidR="00D14701">
        <w:rPr>
          <w:rFonts w:ascii="Bodoni MT" w:eastAsia="Times New Roman" w:hAnsi="Bodoni MT" w:cs="Times New Roman"/>
          <w:sz w:val="24"/>
          <w:szCs w:val="24"/>
          <w:lang w:eastAsia="it-IT"/>
        </w:rPr>
        <w:t>l</w:t>
      </w:r>
      <w:r w:rsidR="00B16380">
        <w:rPr>
          <w:rFonts w:ascii="Bodoni MT" w:eastAsia="Times New Roman" w:hAnsi="Bodoni MT" w:cs="Times New Roman"/>
          <w:sz w:val="24"/>
          <w:szCs w:val="24"/>
          <w:lang w:eastAsia="it-IT"/>
        </w:rPr>
        <w:t xml:space="preserve">ta preclusa, infatti, </w:t>
      </w:r>
      <w:r w:rsidR="007C2A40" w:rsidRPr="007C2A40">
        <w:rPr>
          <w:rFonts w:ascii="Bodoni MT" w:eastAsia="Times New Roman" w:hAnsi="Bodoni MT" w:cs="Times New Roman"/>
          <w:sz w:val="24"/>
          <w:szCs w:val="24"/>
          <w:lang w:eastAsia="it-IT"/>
        </w:rPr>
        <w:t>qual</w:t>
      </w:r>
      <w:r w:rsidR="00B16380">
        <w:rPr>
          <w:rFonts w:ascii="Bodoni MT" w:eastAsia="Times New Roman" w:hAnsi="Bodoni MT" w:cs="Times New Roman"/>
          <w:sz w:val="24"/>
          <w:szCs w:val="24"/>
          <w:lang w:eastAsia="it-IT"/>
        </w:rPr>
        <w:t>siasi</w:t>
      </w:r>
      <w:r w:rsidR="007C2A40" w:rsidRPr="007C2A40">
        <w:rPr>
          <w:rFonts w:ascii="Bodoni MT" w:eastAsia="Times New Roman" w:hAnsi="Bodoni MT" w:cs="Times New Roman"/>
          <w:sz w:val="24"/>
          <w:szCs w:val="24"/>
          <w:lang w:eastAsia="it-IT"/>
        </w:rPr>
        <w:t xml:space="preserve"> interferenza nelle scelte gestionali riser</w:t>
      </w:r>
      <w:r w:rsidR="007C2A40">
        <w:rPr>
          <w:rFonts w:ascii="Bodoni MT" w:eastAsia="Times New Roman" w:hAnsi="Bodoni MT" w:cs="Times New Roman"/>
          <w:sz w:val="24"/>
          <w:szCs w:val="24"/>
          <w:lang w:eastAsia="it-IT"/>
        </w:rPr>
        <w:t>vate alla discrezionalità dell’e</w:t>
      </w:r>
      <w:r w:rsidR="007C2A40" w:rsidRPr="007C2A40">
        <w:rPr>
          <w:rFonts w:ascii="Bodoni MT" w:eastAsia="Times New Roman" w:hAnsi="Bodoni MT" w:cs="Times New Roman"/>
          <w:sz w:val="24"/>
          <w:szCs w:val="24"/>
          <w:lang w:eastAsia="it-IT"/>
        </w:rPr>
        <w:t>nte.</w:t>
      </w:r>
    </w:p>
    <w:p w:rsidR="00144DE0" w:rsidRDefault="00144DE0" w:rsidP="00075141">
      <w:pPr>
        <w:spacing w:before="0" w:after="0"/>
        <w:ind w:firstLine="284"/>
        <w:rPr>
          <w:rFonts w:ascii="Bodoni MT" w:eastAsia="Times New Roman" w:hAnsi="Bodoni MT" w:cs="Times New Roman"/>
          <w:sz w:val="24"/>
          <w:szCs w:val="24"/>
          <w:lang w:eastAsia="it-IT"/>
        </w:rPr>
      </w:pPr>
      <w:r w:rsidRPr="00144DE0">
        <w:rPr>
          <w:rFonts w:ascii="Bodoni MT" w:eastAsia="Times New Roman" w:hAnsi="Bodoni MT" w:cs="Times New Roman"/>
          <w:sz w:val="24"/>
          <w:szCs w:val="24"/>
          <w:lang w:eastAsia="it-IT"/>
        </w:rPr>
        <w:t>Per tal</w:t>
      </w:r>
      <w:r>
        <w:rPr>
          <w:rFonts w:ascii="Bodoni MT" w:eastAsia="Times New Roman" w:hAnsi="Bodoni MT" w:cs="Times New Roman"/>
          <w:sz w:val="24"/>
          <w:szCs w:val="24"/>
          <w:lang w:eastAsia="it-IT"/>
        </w:rPr>
        <w:t>i</w:t>
      </w:r>
      <w:r w:rsidRPr="00144DE0">
        <w:rPr>
          <w:rFonts w:ascii="Bodoni MT" w:eastAsia="Times New Roman" w:hAnsi="Bodoni MT" w:cs="Times New Roman"/>
          <w:sz w:val="24"/>
          <w:szCs w:val="24"/>
          <w:lang w:eastAsia="it-IT"/>
        </w:rPr>
        <w:t xml:space="preserve"> ragion</w:t>
      </w:r>
      <w:r>
        <w:rPr>
          <w:rFonts w:ascii="Bodoni MT" w:eastAsia="Times New Roman" w:hAnsi="Bodoni MT" w:cs="Times New Roman"/>
          <w:sz w:val="24"/>
          <w:szCs w:val="24"/>
          <w:lang w:eastAsia="it-IT"/>
        </w:rPr>
        <w:t>i</w:t>
      </w:r>
      <w:r w:rsidRPr="00144DE0">
        <w:rPr>
          <w:rFonts w:ascii="Bodoni MT" w:eastAsia="Times New Roman" w:hAnsi="Bodoni MT" w:cs="Times New Roman"/>
          <w:sz w:val="24"/>
          <w:szCs w:val="24"/>
          <w:lang w:eastAsia="it-IT"/>
        </w:rPr>
        <w:t xml:space="preserve"> la richiesta è ammissibile </w:t>
      </w:r>
      <w:r w:rsidR="000E35A1">
        <w:rPr>
          <w:rFonts w:ascii="Bodoni MT" w:eastAsia="Times New Roman" w:hAnsi="Bodoni MT" w:cs="Times New Roman"/>
          <w:sz w:val="24"/>
          <w:szCs w:val="24"/>
          <w:lang w:eastAsia="it-IT"/>
        </w:rPr>
        <w:t>sia soggettivamente che oggettivamente.</w:t>
      </w:r>
      <w:r w:rsidRPr="00144DE0">
        <w:rPr>
          <w:rFonts w:ascii="Bodoni MT" w:eastAsia="Times New Roman" w:hAnsi="Bodoni MT" w:cs="Times New Roman"/>
          <w:sz w:val="24"/>
          <w:szCs w:val="24"/>
          <w:lang w:eastAsia="it-IT"/>
        </w:rPr>
        <w:t xml:space="preserve"> </w:t>
      </w:r>
    </w:p>
    <w:p w:rsidR="00462097" w:rsidRDefault="00860379" w:rsidP="00075141">
      <w:pPr>
        <w:spacing w:before="0" w:after="0"/>
        <w:ind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A</w:t>
      </w:r>
      <w:r w:rsidR="00E812BE" w:rsidRPr="00E812BE">
        <w:rPr>
          <w:rFonts w:ascii="Bodoni MT" w:eastAsia="Times New Roman" w:hAnsi="Bodoni MT" w:cs="Times New Roman"/>
          <w:sz w:val="24"/>
          <w:szCs w:val="24"/>
          <w:lang w:eastAsia="it-IT"/>
        </w:rPr>
        <w:t xml:space="preserve"> questo punto</w:t>
      </w:r>
      <w:r w:rsidR="00E812BE">
        <w:rPr>
          <w:rFonts w:ascii="Bodoni MT" w:eastAsia="Times New Roman" w:hAnsi="Bodoni MT" w:cs="Times New Roman"/>
          <w:sz w:val="24"/>
          <w:szCs w:val="24"/>
          <w:lang w:eastAsia="it-IT"/>
        </w:rPr>
        <w:t>,</w:t>
      </w:r>
      <w:r w:rsidR="00462097">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 xml:space="preserve">è possibile </w:t>
      </w:r>
      <w:r w:rsidR="00462097">
        <w:rPr>
          <w:rFonts w:ascii="Bodoni MT" w:eastAsia="Times New Roman" w:hAnsi="Bodoni MT" w:cs="Times New Roman"/>
          <w:sz w:val="24"/>
          <w:szCs w:val="24"/>
          <w:lang w:eastAsia="it-IT"/>
        </w:rPr>
        <w:t>passare alla disamina nel merito.</w:t>
      </w:r>
    </w:p>
    <w:p w:rsidR="0020147B" w:rsidRDefault="0020147B" w:rsidP="00BA491D">
      <w:pPr>
        <w:spacing w:before="0" w:after="0"/>
        <w:ind w:firstLine="284"/>
        <w:rPr>
          <w:rFonts w:ascii="Bodoni MT" w:eastAsia="Times New Roman" w:hAnsi="Bodoni MT" w:cs="Times New Roman"/>
          <w:sz w:val="24"/>
          <w:szCs w:val="24"/>
          <w:lang w:eastAsia="it-IT"/>
        </w:rPr>
      </w:pPr>
      <w:r w:rsidRPr="0020147B">
        <w:rPr>
          <w:rFonts w:ascii="Bodoni MT" w:eastAsia="Times New Roman" w:hAnsi="Bodoni MT" w:cs="Times New Roman"/>
          <w:sz w:val="24"/>
          <w:szCs w:val="24"/>
          <w:lang w:eastAsia="it-IT"/>
        </w:rPr>
        <w:t>In primo luogo, è necessario richiama</w:t>
      </w:r>
      <w:r w:rsidR="0082779E">
        <w:rPr>
          <w:rFonts w:ascii="Bodoni MT" w:eastAsia="Times New Roman" w:hAnsi="Bodoni MT" w:cs="Times New Roman"/>
          <w:sz w:val="24"/>
          <w:szCs w:val="24"/>
          <w:lang w:eastAsia="it-IT"/>
        </w:rPr>
        <w:t>re la norma di cui all’art. 1, comma</w:t>
      </w:r>
      <w:r w:rsidRPr="0020147B">
        <w:rPr>
          <w:rFonts w:ascii="Bodoni MT" w:eastAsia="Times New Roman" w:hAnsi="Bodoni MT" w:cs="Times New Roman"/>
          <w:sz w:val="24"/>
          <w:szCs w:val="24"/>
          <w:lang w:eastAsia="it-IT"/>
        </w:rPr>
        <w:t xml:space="preserve"> 424</w:t>
      </w:r>
      <w:r w:rsidR="0082779E">
        <w:rPr>
          <w:rFonts w:ascii="Bodoni MT" w:eastAsia="Times New Roman" w:hAnsi="Bodoni MT" w:cs="Times New Roman"/>
          <w:sz w:val="24"/>
          <w:szCs w:val="24"/>
          <w:lang w:eastAsia="it-IT"/>
        </w:rPr>
        <w:t>,</w:t>
      </w:r>
      <w:r w:rsidRPr="0020147B">
        <w:rPr>
          <w:rFonts w:ascii="Bodoni MT" w:eastAsia="Times New Roman" w:hAnsi="Bodoni MT" w:cs="Times New Roman"/>
          <w:sz w:val="24"/>
          <w:szCs w:val="24"/>
          <w:lang w:eastAsia="it-IT"/>
        </w:rPr>
        <w:t xml:space="preserve"> l. 23 dicembre 2014</w:t>
      </w:r>
      <w:r w:rsidR="0082779E">
        <w:rPr>
          <w:rFonts w:ascii="Bodoni MT" w:eastAsia="Times New Roman" w:hAnsi="Bodoni MT" w:cs="Times New Roman"/>
          <w:sz w:val="24"/>
          <w:szCs w:val="24"/>
          <w:lang w:eastAsia="it-IT"/>
        </w:rPr>
        <w:t>,</w:t>
      </w:r>
      <w:r w:rsidRPr="0020147B">
        <w:rPr>
          <w:rFonts w:ascii="Bodoni MT" w:eastAsia="Times New Roman" w:hAnsi="Bodoni MT" w:cs="Times New Roman"/>
          <w:sz w:val="24"/>
          <w:szCs w:val="24"/>
          <w:lang w:eastAsia="it-IT"/>
        </w:rPr>
        <w:t xml:space="preserve"> n. 190 (legge di stabilità 2015), che dispone: “Le Regioni e gli Enti Locali, per gli anni 2015 e 2016, destinano le risorse per le assunzioni a tempo indeterminato, nelle percentuali stabilite dalla normativa vigente, all'immissione nei ruoli dei vincitori di concorso pubblico collocati nelle proprie graduatorie vigenti o approvate alla data di entrata in vigore della presente legge e alla ricollocazione nei propri ruoli delle unità soprannumerarie destinatarie dei processi di mobilità. Esclusivamente per le finalità di ricollocazione del personale in mobilità le Regioni e gli Enti Locali destinano, altresì, la restante percentuale della spesa relativa al personale di ruolo cessato negli anni 2014 e 2015, salva la completa ricollocazione del personale soprannumerario”. </w:t>
      </w:r>
    </w:p>
    <w:p w:rsidR="0020147B" w:rsidRPr="0020147B" w:rsidRDefault="0020147B" w:rsidP="0020147B">
      <w:pPr>
        <w:spacing w:before="0" w:after="0"/>
        <w:ind w:firstLine="284"/>
        <w:rPr>
          <w:rFonts w:ascii="Bodoni MT" w:eastAsia="Times New Roman" w:hAnsi="Bodoni MT" w:cs="Times New Roman"/>
          <w:sz w:val="24"/>
          <w:szCs w:val="24"/>
          <w:lang w:eastAsia="it-IT"/>
        </w:rPr>
      </w:pPr>
      <w:r w:rsidRPr="0020147B">
        <w:rPr>
          <w:rFonts w:ascii="Bodoni MT" w:eastAsia="Times New Roman" w:hAnsi="Bodoni MT" w:cs="Times New Roman"/>
          <w:sz w:val="24"/>
          <w:szCs w:val="24"/>
          <w:lang w:eastAsia="it-IT"/>
        </w:rPr>
        <w:t>I rapporti tra l’istituto della mobilità ed i vincoli assunzionali sono</w:t>
      </w:r>
      <w:r w:rsidR="001B00E7">
        <w:rPr>
          <w:rFonts w:ascii="Bodoni MT" w:eastAsia="Times New Roman" w:hAnsi="Bodoni MT" w:cs="Times New Roman"/>
          <w:sz w:val="24"/>
          <w:szCs w:val="24"/>
          <w:lang w:eastAsia="it-IT"/>
        </w:rPr>
        <w:t xml:space="preserve"> poi</w:t>
      </w:r>
      <w:r w:rsidRPr="0020147B">
        <w:rPr>
          <w:rFonts w:ascii="Bodoni MT" w:eastAsia="Times New Roman" w:hAnsi="Bodoni MT" w:cs="Times New Roman"/>
          <w:sz w:val="24"/>
          <w:szCs w:val="24"/>
          <w:lang w:eastAsia="it-IT"/>
        </w:rPr>
        <w:t xml:space="preserve"> disciplinati dall’art. 1, comma 47, l. 30 dicembre 2004</w:t>
      </w:r>
      <w:r w:rsidR="008133B7">
        <w:rPr>
          <w:rFonts w:ascii="Bodoni MT" w:eastAsia="Times New Roman" w:hAnsi="Bodoni MT" w:cs="Times New Roman"/>
          <w:sz w:val="24"/>
          <w:szCs w:val="24"/>
          <w:lang w:eastAsia="it-IT"/>
        </w:rPr>
        <w:t>,</w:t>
      </w:r>
      <w:r w:rsidRPr="0020147B">
        <w:rPr>
          <w:rFonts w:ascii="Bodoni MT" w:eastAsia="Times New Roman" w:hAnsi="Bodoni MT" w:cs="Times New Roman"/>
          <w:sz w:val="24"/>
          <w:szCs w:val="24"/>
          <w:lang w:eastAsia="it-IT"/>
        </w:rPr>
        <w:t xml:space="preserve"> n. 311 (legge finanziaria 2005), che dispone: “In vigenza di disposizioni che stabiliscono un regime di limitazione delle assunzioni di personale a tempo indeterminato, sono consentiti trasferimenti per mobilità, anche intercompartimentale, tra amministrazioni sottoposte al regime di limitazione, nel rispetto delle disposizioni sulle dotazioni organiche e, per gli enti locali, purché abbiano rispettato il patto di stabilità interno per l'anno precedente”.</w:t>
      </w:r>
    </w:p>
    <w:p w:rsidR="0020147B" w:rsidRDefault="0020147B" w:rsidP="0020147B">
      <w:pPr>
        <w:spacing w:before="0" w:after="0"/>
        <w:ind w:firstLine="284"/>
        <w:rPr>
          <w:rFonts w:ascii="Bodoni MT" w:eastAsia="Times New Roman" w:hAnsi="Bodoni MT" w:cs="Times New Roman"/>
          <w:sz w:val="24"/>
          <w:szCs w:val="24"/>
          <w:lang w:eastAsia="it-IT"/>
        </w:rPr>
      </w:pPr>
      <w:r w:rsidRPr="0020147B">
        <w:rPr>
          <w:rFonts w:ascii="Bodoni MT" w:eastAsia="Times New Roman" w:hAnsi="Bodoni MT" w:cs="Times New Roman"/>
          <w:sz w:val="24"/>
          <w:szCs w:val="24"/>
          <w:lang w:eastAsia="it-IT"/>
        </w:rPr>
        <w:t>La norma, riguardante gli enti sottoposti a vincoli assunzionali, consente in questo modo l’esperi</w:t>
      </w:r>
      <w:r w:rsidR="000C6D7B">
        <w:rPr>
          <w:rFonts w:ascii="Bodoni MT" w:eastAsia="Times New Roman" w:hAnsi="Bodoni MT" w:cs="Times New Roman"/>
          <w:sz w:val="24"/>
          <w:szCs w:val="24"/>
          <w:lang w:eastAsia="it-IT"/>
        </w:rPr>
        <w:t>mento di procedure di mobilità</w:t>
      </w:r>
      <w:r w:rsidRPr="0020147B">
        <w:rPr>
          <w:rFonts w:ascii="Bodoni MT" w:eastAsia="Times New Roman" w:hAnsi="Bodoni MT" w:cs="Times New Roman"/>
          <w:sz w:val="24"/>
          <w:szCs w:val="24"/>
          <w:lang w:eastAsia="it-IT"/>
        </w:rPr>
        <w:t xml:space="preserve">, anche in deroga ai suddetti vincoli, </w:t>
      </w:r>
      <w:r w:rsidRPr="0020147B">
        <w:rPr>
          <w:rFonts w:ascii="Bodoni MT" w:eastAsia="Times New Roman" w:hAnsi="Bodoni MT" w:cs="Times New Roman"/>
          <w:sz w:val="24"/>
          <w:szCs w:val="24"/>
          <w:lang w:eastAsia="it-IT"/>
        </w:rPr>
        <w:lastRenderedPageBreak/>
        <w:t>purché sia garantita la neutralità finanziaria dell’operazione, sia con riguardo all’ente di provenienza che a quello di destinazione (</w:t>
      </w:r>
      <w:r w:rsidRPr="006B6490">
        <w:rPr>
          <w:rFonts w:ascii="Bodoni MT" w:eastAsia="Times New Roman" w:hAnsi="Bodoni MT" w:cs="Times New Roman"/>
          <w:i/>
          <w:sz w:val="24"/>
          <w:szCs w:val="24"/>
          <w:lang w:eastAsia="it-IT"/>
        </w:rPr>
        <w:t>cfr.</w:t>
      </w:r>
      <w:r w:rsidRPr="0020147B">
        <w:rPr>
          <w:rFonts w:ascii="Bodoni MT" w:eastAsia="Times New Roman" w:hAnsi="Bodoni MT" w:cs="Times New Roman"/>
          <w:sz w:val="24"/>
          <w:szCs w:val="24"/>
          <w:lang w:eastAsia="it-IT"/>
        </w:rPr>
        <w:t xml:space="preserve"> Sezione delle autonomie del. n. 21/2009; Sezioni Riunite del. n. 59/2010; Sezione regionale Lombardia del. n. 115/2011 e n. 373/2012; Sezione regio</w:t>
      </w:r>
      <w:r>
        <w:rPr>
          <w:rFonts w:ascii="Bodoni MT" w:eastAsia="Times New Roman" w:hAnsi="Bodoni MT" w:cs="Times New Roman"/>
          <w:sz w:val="24"/>
          <w:szCs w:val="24"/>
          <w:lang w:eastAsia="it-IT"/>
        </w:rPr>
        <w:t xml:space="preserve">nale Toscana del. n. 244/2015). </w:t>
      </w:r>
      <w:r w:rsidR="00F13F87">
        <w:rPr>
          <w:rFonts w:ascii="Bodoni MT" w:eastAsia="Times New Roman" w:hAnsi="Bodoni MT" w:cs="Times New Roman"/>
          <w:sz w:val="24"/>
          <w:szCs w:val="24"/>
          <w:lang w:eastAsia="it-IT"/>
        </w:rPr>
        <w:t>A questo proposito</w:t>
      </w:r>
      <w:r w:rsidRPr="0020147B">
        <w:rPr>
          <w:rFonts w:ascii="Bodoni MT" w:eastAsia="Times New Roman" w:hAnsi="Bodoni MT" w:cs="Times New Roman"/>
          <w:sz w:val="24"/>
          <w:szCs w:val="24"/>
          <w:lang w:eastAsia="it-IT"/>
        </w:rPr>
        <w:t>, si consideri</w:t>
      </w:r>
      <w:r w:rsidR="0056031D">
        <w:rPr>
          <w:rFonts w:ascii="Bodoni MT" w:eastAsia="Times New Roman" w:hAnsi="Bodoni MT" w:cs="Times New Roman"/>
          <w:sz w:val="24"/>
          <w:szCs w:val="24"/>
          <w:lang w:eastAsia="it-IT"/>
        </w:rPr>
        <w:t>,</w:t>
      </w:r>
      <w:r w:rsidRPr="0020147B">
        <w:rPr>
          <w:rFonts w:ascii="Bodoni MT" w:eastAsia="Times New Roman" w:hAnsi="Bodoni MT" w:cs="Times New Roman"/>
          <w:sz w:val="24"/>
          <w:szCs w:val="24"/>
          <w:lang w:eastAsia="it-IT"/>
        </w:rPr>
        <w:t xml:space="preserve"> </w:t>
      </w:r>
      <w:r w:rsidR="004A3C1C">
        <w:rPr>
          <w:rFonts w:ascii="Bodoni MT" w:eastAsia="Times New Roman" w:hAnsi="Bodoni MT" w:cs="Times New Roman"/>
          <w:sz w:val="24"/>
          <w:szCs w:val="24"/>
          <w:lang w:eastAsia="it-IT"/>
        </w:rPr>
        <w:t>inoltre</w:t>
      </w:r>
      <w:r w:rsidR="0056031D">
        <w:rPr>
          <w:rFonts w:ascii="Bodoni MT" w:eastAsia="Times New Roman" w:hAnsi="Bodoni MT" w:cs="Times New Roman"/>
          <w:sz w:val="24"/>
          <w:szCs w:val="24"/>
          <w:lang w:eastAsia="it-IT"/>
        </w:rPr>
        <w:t>,</w:t>
      </w:r>
      <w:r w:rsidR="004A3C1C">
        <w:rPr>
          <w:rFonts w:ascii="Bodoni MT" w:eastAsia="Times New Roman" w:hAnsi="Bodoni MT" w:cs="Times New Roman"/>
          <w:sz w:val="24"/>
          <w:szCs w:val="24"/>
          <w:lang w:eastAsia="it-IT"/>
        </w:rPr>
        <w:t xml:space="preserve"> </w:t>
      </w:r>
      <w:r w:rsidRPr="0020147B">
        <w:rPr>
          <w:rFonts w:ascii="Bodoni MT" w:eastAsia="Times New Roman" w:hAnsi="Bodoni MT" w:cs="Times New Roman"/>
          <w:sz w:val="24"/>
          <w:szCs w:val="24"/>
          <w:lang w:eastAsia="it-IT"/>
        </w:rPr>
        <w:t>che la Sezione delle Autonomie, con delibera n. 19 del 4 giugno 2015, resa su questione di massima, ha affermato: “Per il 2015 ed il 2016 agli enti locali è consentito indire bandi di procedure di mobilità riservate esclusivamente al personale soprannumerario degli enti di area vasta. A conclusione del processo di ricollocazione del personale soprannumerario destinatario dei processi di mobilità, è ammissibile indire le ordinarie p</w:t>
      </w:r>
      <w:r>
        <w:rPr>
          <w:rFonts w:ascii="Bodoni MT" w:eastAsia="Times New Roman" w:hAnsi="Bodoni MT" w:cs="Times New Roman"/>
          <w:sz w:val="24"/>
          <w:szCs w:val="24"/>
          <w:lang w:eastAsia="it-IT"/>
        </w:rPr>
        <w:t>rocedure di mobilità volontaria</w:t>
      </w:r>
      <w:r w:rsidRPr="0020147B">
        <w:rPr>
          <w:rFonts w:ascii="Bodoni MT" w:eastAsia="Times New Roman" w:hAnsi="Bodoni MT" w:cs="Times New Roman"/>
          <w:sz w:val="24"/>
          <w:szCs w:val="24"/>
          <w:lang w:eastAsia="it-IT"/>
        </w:rPr>
        <w:t>”</w:t>
      </w:r>
      <w:r>
        <w:rPr>
          <w:rFonts w:ascii="Bodoni MT" w:eastAsia="Times New Roman" w:hAnsi="Bodoni MT" w:cs="Times New Roman"/>
          <w:sz w:val="24"/>
          <w:szCs w:val="24"/>
          <w:lang w:eastAsia="it-IT"/>
        </w:rPr>
        <w:t xml:space="preserve">. </w:t>
      </w:r>
      <w:r w:rsidR="008879C1">
        <w:rPr>
          <w:rFonts w:ascii="Bodoni MT" w:eastAsia="Times New Roman" w:hAnsi="Bodoni MT" w:cs="Times New Roman"/>
          <w:sz w:val="24"/>
          <w:szCs w:val="24"/>
          <w:lang w:eastAsia="it-IT"/>
        </w:rPr>
        <w:t xml:space="preserve">La norma </w:t>
      </w:r>
      <w:r w:rsidR="004E3FDE" w:rsidRPr="004E3FDE">
        <w:rPr>
          <w:rFonts w:ascii="Bodoni MT" w:eastAsia="Times New Roman" w:hAnsi="Bodoni MT" w:cs="Times New Roman"/>
          <w:i/>
          <w:sz w:val="24"/>
          <w:szCs w:val="24"/>
          <w:lang w:eastAsia="it-IT"/>
        </w:rPr>
        <w:t>ex</w:t>
      </w:r>
      <w:r w:rsidR="004E3FDE">
        <w:rPr>
          <w:rFonts w:ascii="Bodoni MT" w:eastAsia="Times New Roman" w:hAnsi="Bodoni MT" w:cs="Times New Roman"/>
          <w:sz w:val="24"/>
          <w:szCs w:val="24"/>
          <w:lang w:eastAsia="it-IT"/>
        </w:rPr>
        <w:t xml:space="preserve"> </w:t>
      </w:r>
      <w:r w:rsidR="008879C1">
        <w:rPr>
          <w:rFonts w:ascii="Bodoni MT" w:eastAsia="Times New Roman" w:hAnsi="Bodoni MT" w:cs="Times New Roman"/>
          <w:sz w:val="24"/>
          <w:szCs w:val="24"/>
          <w:lang w:eastAsia="it-IT"/>
        </w:rPr>
        <w:t>art. 1</w:t>
      </w:r>
      <w:r w:rsidR="00EF6B89">
        <w:rPr>
          <w:rFonts w:ascii="Bodoni MT" w:eastAsia="Times New Roman" w:hAnsi="Bodoni MT" w:cs="Times New Roman"/>
          <w:sz w:val="24"/>
          <w:szCs w:val="24"/>
          <w:lang w:eastAsia="it-IT"/>
        </w:rPr>
        <w:t>,</w:t>
      </w:r>
      <w:r w:rsidR="008879C1">
        <w:rPr>
          <w:rFonts w:ascii="Bodoni MT" w:eastAsia="Times New Roman" w:hAnsi="Bodoni MT" w:cs="Times New Roman"/>
          <w:sz w:val="24"/>
          <w:szCs w:val="24"/>
          <w:lang w:eastAsia="it-IT"/>
        </w:rPr>
        <w:t xml:space="preserve"> c. 424</w:t>
      </w:r>
      <w:r w:rsidR="00EF6B89">
        <w:rPr>
          <w:rFonts w:ascii="Bodoni MT" w:eastAsia="Times New Roman" w:hAnsi="Bodoni MT" w:cs="Times New Roman"/>
          <w:sz w:val="24"/>
          <w:szCs w:val="24"/>
          <w:lang w:eastAsia="it-IT"/>
        </w:rPr>
        <w:t>,</w:t>
      </w:r>
      <w:r w:rsidR="008879C1">
        <w:rPr>
          <w:rFonts w:ascii="Bodoni MT" w:eastAsia="Times New Roman" w:hAnsi="Bodoni MT" w:cs="Times New Roman"/>
          <w:sz w:val="24"/>
          <w:szCs w:val="24"/>
          <w:lang w:eastAsia="it-IT"/>
        </w:rPr>
        <w:t xml:space="preserve"> l. 190/2014, evidentemente, persegue l’intento</w:t>
      </w:r>
      <w:r w:rsidR="008879C1" w:rsidRPr="008879C1">
        <w:rPr>
          <w:rFonts w:ascii="Bodoni MT" w:eastAsia="Times New Roman" w:hAnsi="Bodoni MT" w:cs="Times New Roman"/>
          <w:sz w:val="24"/>
          <w:szCs w:val="24"/>
          <w:lang w:eastAsia="it-IT"/>
        </w:rPr>
        <w:t xml:space="preserve"> di </w:t>
      </w:r>
      <w:r w:rsidR="00B95BEE">
        <w:rPr>
          <w:rFonts w:ascii="Bodoni MT" w:eastAsia="Times New Roman" w:hAnsi="Bodoni MT" w:cs="Times New Roman"/>
          <w:sz w:val="24"/>
          <w:szCs w:val="24"/>
          <w:lang w:eastAsia="it-IT"/>
        </w:rPr>
        <w:t>riservare</w:t>
      </w:r>
      <w:r w:rsidR="008879C1" w:rsidRPr="008879C1">
        <w:rPr>
          <w:rFonts w:ascii="Bodoni MT" w:eastAsia="Times New Roman" w:hAnsi="Bodoni MT" w:cs="Times New Roman"/>
          <w:sz w:val="24"/>
          <w:szCs w:val="24"/>
          <w:lang w:eastAsia="it-IT"/>
        </w:rPr>
        <w:t xml:space="preserve">, in via prioritaria, tutti gli spazi presenti nelle dotazioni </w:t>
      </w:r>
      <w:r w:rsidR="008879C1">
        <w:rPr>
          <w:rFonts w:ascii="Bodoni MT" w:eastAsia="Times New Roman" w:hAnsi="Bodoni MT" w:cs="Times New Roman"/>
          <w:sz w:val="24"/>
          <w:szCs w:val="24"/>
          <w:lang w:eastAsia="it-IT"/>
        </w:rPr>
        <w:t xml:space="preserve">organiche </w:t>
      </w:r>
      <w:r w:rsidR="008879C1" w:rsidRPr="008879C1">
        <w:rPr>
          <w:rFonts w:ascii="Bodoni MT" w:eastAsia="Times New Roman" w:hAnsi="Bodoni MT" w:cs="Times New Roman"/>
          <w:sz w:val="24"/>
          <w:szCs w:val="24"/>
          <w:lang w:eastAsia="it-IT"/>
        </w:rPr>
        <w:t xml:space="preserve">a favore del personale </w:t>
      </w:r>
      <w:r w:rsidR="008879C1">
        <w:rPr>
          <w:rFonts w:ascii="Bodoni MT" w:eastAsia="Times New Roman" w:hAnsi="Bodoni MT" w:cs="Times New Roman"/>
          <w:sz w:val="24"/>
          <w:szCs w:val="24"/>
          <w:lang w:eastAsia="it-IT"/>
        </w:rPr>
        <w:t xml:space="preserve">soprannumerario </w:t>
      </w:r>
      <w:r w:rsidR="008879C1" w:rsidRPr="008879C1">
        <w:rPr>
          <w:rFonts w:ascii="Bodoni MT" w:eastAsia="Times New Roman" w:hAnsi="Bodoni MT" w:cs="Times New Roman"/>
          <w:sz w:val="24"/>
          <w:szCs w:val="24"/>
          <w:lang w:eastAsia="it-IT"/>
        </w:rPr>
        <w:t>di area vasta</w:t>
      </w:r>
      <w:r w:rsidR="006B6490">
        <w:rPr>
          <w:rFonts w:ascii="Bodoni MT" w:eastAsia="Times New Roman" w:hAnsi="Bodoni MT" w:cs="Times New Roman"/>
          <w:sz w:val="24"/>
          <w:szCs w:val="24"/>
          <w:lang w:eastAsia="it-IT"/>
        </w:rPr>
        <w:t xml:space="preserve"> (</w:t>
      </w:r>
      <w:r w:rsidR="006B6490" w:rsidRPr="006B6490">
        <w:rPr>
          <w:rFonts w:ascii="Bodoni MT" w:eastAsia="Times New Roman" w:hAnsi="Bodoni MT" w:cs="Times New Roman"/>
          <w:i/>
          <w:sz w:val="24"/>
          <w:szCs w:val="24"/>
          <w:lang w:eastAsia="it-IT"/>
        </w:rPr>
        <w:t>cfr.</w:t>
      </w:r>
      <w:r w:rsidR="006B6490">
        <w:rPr>
          <w:rFonts w:ascii="Bodoni MT" w:eastAsia="Times New Roman" w:hAnsi="Bodoni MT" w:cs="Times New Roman"/>
          <w:sz w:val="24"/>
          <w:szCs w:val="24"/>
          <w:lang w:eastAsia="it-IT"/>
        </w:rPr>
        <w:t xml:space="preserve"> </w:t>
      </w:r>
      <w:r w:rsidR="006B6490" w:rsidRPr="006B6490">
        <w:rPr>
          <w:rFonts w:ascii="Bodoni MT" w:eastAsia="Times New Roman" w:hAnsi="Bodoni MT" w:cs="Times New Roman"/>
          <w:sz w:val="24"/>
          <w:szCs w:val="24"/>
          <w:lang w:eastAsia="it-IT"/>
        </w:rPr>
        <w:t>Sezione regionale Toscana del. n. 244/2015</w:t>
      </w:r>
      <w:r w:rsidR="006B6490">
        <w:rPr>
          <w:rFonts w:ascii="Bodoni MT" w:eastAsia="Times New Roman" w:hAnsi="Bodoni MT" w:cs="Times New Roman"/>
          <w:sz w:val="24"/>
          <w:szCs w:val="24"/>
          <w:lang w:eastAsia="it-IT"/>
        </w:rPr>
        <w:t>)</w:t>
      </w:r>
      <w:r w:rsidR="00B36FAE">
        <w:rPr>
          <w:rFonts w:ascii="Bodoni MT" w:eastAsia="Times New Roman" w:hAnsi="Bodoni MT" w:cs="Times New Roman"/>
          <w:sz w:val="24"/>
          <w:szCs w:val="24"/>
          <w:lang w:eastAsia="it-IT"/>
        </w:rPr>
        <w:t>. Tale normativa, a carattere eccezionale e derogatorio, è volta ad agevolare il riassorbimento di tali dipendenti in eccedenza.</w:t>
      </w:r>
    </w:p>
    <w:p w:rsidR="007611BC" w:rsidRDefault="007611BC" w:rsidP="007611BC">
      <w:pPr>
        <w:spacing w:before="0" w:after="0"/>
        <w:ind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La circolare n. 1/2015 del Dipartimento della Funzione Pubblica ha poi specificato il divieto di </w:t>
      </w:r>
      <w:r w:rsidRPr="007611BC">
        <w:rPr>
          <w:rFonts w:ascii="Bodoni MT" w:eastAsia="Times New Roman" w:hAnsi="Bodoni MT" w:cs="Times New Roman"/>
          <w:sz w:val="24"/>
          <w:szCs w:val="24"/>
          <w:lang w:eastAsia="it-IT"/>
        </w:rPr>
        <w:t xml:space="preserve">bandire nuovi concorsi </w:t>
      </w:r>
      <w:r>
        <w:rPr>
          <w:rFonts w:ascii="Bodoni MT" w:eastAsia="Times New Roman" w:hAnsi="Bodoni MT" w:cs="Times New Roman"/>
          <w:sz w:val="24"/>
          <w:szCs w:val="24"/>
          <w:lang w:eastAsia="it-IT"/>
        </w:rPr>
        <w:t xml:space="preserve">e procedure di mobilità </w:t>
      </w:r>
      <w:r w:rsidRPr="007611BC">
        <w:rPr>
          <w:rFonts w:ascii="Bodoni MT" w:eastAsia="Times New Roman" w:hAnsi="Bodoni MT" w:cs="Times New Roman"/>
          <w:sz w:val="24"/>
          <w:szCs w:val="24"/>
          <w:lang w:eastAsia="it-IT"/>
        </w:rPr>
        <w:t xml:space="preserve">a valere sui budget 2015 e </w:t>
      </w:r>
      <w:r>
        <w:rPr>
          <w:rFonts w:ascii="Bodoni MT" w:eastAsia="Times New Roman" w:hAnsi="Bodoni MT" w:cs="Times New Roman"/>
          <w:sz w:val="24"/>
          <w:szCs w:val="24"/>
          <w:lang w:eastAsia="it-IT"/>
        </w:rPr>
        <w:t>2016. Tuttavia, l</w:t>
      </w:r>
      <w:r w:rsidRPr="007611BC">
        <w:rPr>
          <w:rFonts w:ascii="Bodoni MT" w:eastAsia="Times New Roman" w:hAnsi="Bodoni MT" w:cs="Times New Roman"/>
          <w:sz w:val="24"/>
          <w:szCs w:val="24"/>
          <w:lang w:eastAsia="it-IT"/>
        </w:rPr>
        <w:t>e procedure di mobilità volontaria avviate prima del 1 gennaio 2015 possono essere concluse.</w:t>
      </w:r>
    </w:p>
    <w:p w:rsidR="0005384B" w:rsidRDefault="00E24E61" w:rsidP="0020147B">
      <w:pPr>
        <w:spacing w:before="0" w:after="0"/>
        <w:ind w:firstLine="284"/>
      </w:pPr>
      <w:r>
        <w:rPr>
          <w:rFonts w:ascii="Bodoni MT" w:eastAsia="Times New Roman" w:hAnsi="Bodoni MT" w:cs="Times New Roman"/>
          <w:sz w:val="24"/>
          <w:szCs w:val="24"/>
          <w:lang w:eastAsia="it-IT"/>
        </w:rPr>
        <w:t>Tanto premesso, r</w:t>
      </w:r>
      <w:r w:rsidR="0020147B" w:rsidRPr="0020147B">
        <w:rPr>
          <w:rFonts w:ascii="Bodoni MT" w:eastAsia="Times New Roman" w:hAnsi="Bodoni MT" w:cs="Times New Roman"/>
          <w:sz w:val="24"/>
          <w:szCs w:val="24"/>
          <w:lang w:eastAsia="it-IT"/>
        </w:rPr>
        <w:t xml:space="preserve">esta da verificare, </w:t>
      </w:r>
      <w:r w:rsidR="008879C1">
        <w:rPr>
          <w:rFonts w:ascii="Bodoni MT" w:eastAsia="Times New Roman" w:hAnsi="Bodoni MT" w:cs="Times New Roman"/>
          <w:sz w:val="24"/>
          <w:szCs w:val="24"/>
          <w:lang w:eastAsia="it-IT"/>
        </w:rPr>
        <w:t>in quest’ottica</w:t>
      </w:r>
      <w:r w:rsidR="0020147B" w:rsidRPr="0020147B">
        <w:rPr>
          <w:rFonts w:ascii="Bodoni MT" w:eastAsia="Times New Roman" w:hAnsi="Bodoni MT" w:cs="Times New Roman"/>
          <w:sz w:val="24"/>
          <w:szCs w:val="24"/>
          <w:lang w:eastAsia="it-IT"/>
        </w:rPr>
        <w:t>, se la mobilità reciproca assorba o meno le risorse per le assunzioni a tempo indeterminato.</w:t>
      </w:r>
      <w:r w:rsidR="0020147B" w:rsidRPr="0020147B">
        <w:t xml:space="preserve"> </w:t>
      </w:r>
    </w:p>
    <w:p w:rsidR="009E67EC" w:rsidRDefault="0020147B" w:rsidP="0020147B">
      <w:pPr>
        <w:spacing w:before="0" w:after="0"/>
        <w:ind w:firstLine="284"/>
        <w:rPr>
          <w:rFonts w:ascii="Bodoni MT" w:eastAsia="Times New Roman" w:hAnsi="Bodoni MT" w:cs="Times New Roman"/>
          <w:sz w:val="24"/>
          <w:szCs w:val="24"/>
          <w:lang w:eastAsia="it-IT"/>
        </w:rPr>
      </w:pPr>
      <w:r w:rsidRPr="0020147B">
        <w:rPr>
          <w:rFonts w:ascii="Bodoni MT" w:eastAsia="Times New Roman" w:hAnsi="Bodoni MT" w:cs="Times New Roman"/>
          <w:sz w:val="24"/>
          <w:szCs w:val="24"/>
          <w:lang w:eastAsia="it-IT"/>
        </w:rPr>
        <w:t xml:space="preserve">La mobilità </w:t>
      </w:r>
      <w:r w:rsidR="0005384B">
        <w:rPr>
          <w:rFonts w:ascii="Bodoni MT" w:eastAsia="Times New Roman" w:hAnsi="Bodoni MT" w:cs="Times New Roman"/>
          <w:sz w:val="24"/>
          <w:szCs w:val="24"/>
          <w:lang w:eastAsia="it-IT"/>
        </w:rPr>
        <w:t>“</w:t>
      </w:r>
      <w:r w:rsidRPr="0020147B">
        <w:rPr>
          <w:rFonts w:ascii="Bodoni MT" w:eastAsia="Times New Roman" w:hAnsi="Bodoni MT" w:cs="Times New Roman"/>
          <w:sz w:val="24"/>
          <w:szCs w:val="24"/>
          <w:lang w:eastAsia="it-IT"/>
        </w:rPr>
        <w:t>interscambio</w:t>
      </w:r>
      <w:r w:rsidR="0005384B">
        <w:rPr>
          <w:rFonts w:ascii="Bodoni MT" w:eastAsia="Times New Roman" w:hAnsi="Bodoni MT" w:cs="Times New Roman"/>
          <w:sz w:val="24"/>
          <w:szCs w:val="24"/>
          <w:lang w:eastAsia="it-IT"/>
        </w:rPr>
        <w:t>”</w:t>
      </w:r>
      <w:r w:rsidRPr="0020147B">
        <w:rPr>
          <w:rFonts w:ascii="Bodoni MT" w:eastAsia="Times New Roman" w:hAnsi="Bodoni MT" w:cs="Times New Roman"/>
          <w:sz w:val="24"/>
          <w:szCs w:val="24"/>
          <w:lang w:eastAsia="it-IT"/>
        </w:rPr>
        <w:t xml:space="preserve"> o “compensativa”, disciplinata dall'art. 7 d.P.C.M. n. 325 del 5 agosto 1988, si attua con lo “scambio” di dipendenti pubblici</w:t>
      </w:r>
      <w:r w:rsidR="0005384B" w:rsidRPr="0005384B">
        <w:t xml:space="preserve"> </w:t>
      </w:r>
      <w:r w:rsidR="0005384B" w:rsidRPr="0005384B">
        <w:rPr>
          <w:rFonts w:ascii="Bodoni MT" w:eastAsia="Times New Roman" w:hAnsi="Bodoni MT" w:cs="Times New Roman"/>
          <w:sz w:val="24"/>
          <w:szCs w:val="24"/>
          <w:lang w:eastAsia="it-IT"/>
        </w:rPr>
        <w:t>in possesso di un corri</w:t>
      </w:r>
      <w:r w:rsidR="005271E1">
        <w:rPr>
          <w:rFonts w:ascii="Bodoni MT" w:eastAsia="Times New Roman" w:hAnsi="Bodoni MT" w:cs="Times New Roman"/>
          <w:sz w:val="24"/>
          <w:szCs w:val="24"/>
          <w:lang w:eastAsia="it-IT"/>
        </w:rPr>
        <w:t>spondente profilo professionale</w:t>
      </w:r>
      <w:r w:rsidR="0005384B" w:rsidRPr="0005384B">
        <w:rPr>
          <w:rFonts w:ascii="Bodoni MT" w:eastAsia="Times New Roman" w:hAnsi="Bodoni MT" w:cs="Times New Roman"/>
          <w:sz w:val="24"/>
          <w:szCs w:val="24"/>
          <w:lang w:eastAsia="it-IT"/>
        </w:rPr>
        <w:t xml:space="preserve"> o, comunque, che svolgano mansioni equivalenti</w:t>
      </w:r>
      <w:r w:rsidRPr="0020147B">
        <w:rPr>
          <w:rFonts w:ascii="Bodoni MT" w:eastAsia="Times New Roman" w:hAnsi="Bodoni MT" w:cs="Times New Roman"/>
          <w:sz w:val="24"/>
          <w:szCs w:val="24"/>
          <w:lang w:eastAsia="it-IT"/>
        </w:rPr>
        <w:t>, in presenza dell'accordo delle amministrazioni di appartenenza.</w:t>
      </w:r>
      <w:r w:rsidR="00155BFE">
        <w:rPr>
          <w:rFonts w:ascii="Bodoni MT" w:eastAsia="Times New Roman" w:hAnsi="Bodoni MT" w:cs="Times New Roman"/>
          <w:sz w:val="24"/>
          <w:szCs w:val="24"/>
          <w:lang w:eastAsia="it-IT"/>
        </w:rPr>
        <w:t xml:space="preserve"> Tale istituto </w:t>
      </w:r>
      <w:r w:rsidR="00FA2AA7">
        <w:rPr>
          <w:rFonts w:ascii="Bodoni MT" w:eastAsia="Times New Roman" w:hAnsi="Bodoni MT" w:cs="Times New Roman"/>
          <w:sz w:val="24"/>
          <w:szCs w:val="24"/>
          <w:lang w:eastAsia="it-IT"/>
        </w:rPr>
        <w:t>configura</w:t>
      </w:r>
      <w:r w:rsidR="00155BFE">
        <w:rPr>
          <w:rFonts w:ascii="Bodoni MT" w:eastAsia="Times New Roman" w:hAnsi="Bodoni MT" w:cs="Times New Roman"/>
          <w:sz w:val="24"/>
          <w:szCs w:val="24"/>
          <w:lang w:eastAsia="it-IT"/>
        </w:rPr>
        <w:t xml:space="preserve"> un’operazione</w:t>
      </w:r>
      <w:r w:rsidR="00155BFE" w:rsidRPr="00155BFE">
        <w:rPr>
          <w:rFonts w:ascii="Bodoni MT" w:eastAsia="Times New Roman" w:hAnsi="Bodoni MT" w:cs="Times New Roman"/>
          <w:sz w:val="24"/>
          <w:szCs w:val="24"/>
          <w:lang w:eastAsia="it-IT"/>
        </w:rPr>
        <w:t xml:space="preserve"> neutra</w:t>
      </w:r>
      <w:r w:rsidR="00155BFE">
        <w:rPr>
          <w:rFonts w:ascii="Bodoni MT" w:eastAsia="Times New Roman" w:hAnsi="Bodoni MT" w:cs="Times New Roman"/>
          <w:sz w:val="24"/>
          <w:szCs w:val="24"/>
          <w:lang w:eastAsia="it-IT"/>
        </w:rPr>
        <w:t>le</w:t>
      </w:r>
      <w:r w:rsidR="00155BFE" w:rsidRPr="00155BFE">
        <w:rPr>
          <w:rFonts w:ascii="Bodoni MT" w:eastAsia="Times New Roman" w:hAnsi="Bodoni MT" w:cs="Times New Roman"/>
          <w:sz w:val="24"/>
          <w:szCs w:val="24"/>
          <w:lang w:eastAsia="it-IT"/>
        </w:rPr>
        <w:t xml:space="preserve"> qualora </w:t>
      </w:r>
      <w:r w:rsidR="00155BFE">
        <w:rPr>
          <w:rFonts w:ascii="Bodoni MT" w:eastAsia="Times New Roman" w:hAnsi="Bodoni MT" w:cs="Times New Roman"/>
          <w:sz w:val="24"/>
          <w:szCs w:val="24"/>
          <w:lang w:eastAsia="it-IT"/>
        </w:rPr>
        <w:t>sia realizzato tra e</w:t>
      </w:r>
      <w:r w:rsidR="00155BFE" w:rsidRPr="00155BFE">
        <w:rPr>
          <w:rFonts w:ascii="Bodoni MT" w:eastAsia="Times New Roman" w:hAnsi="Bodoni MT" w:cs="Times New Roman"/>
          <w:sz w:val="24"/>
          <w:szCs w:val="24"/>
          <w:lang w:eastAsia="it-IT"/>
        </w:rPr>
        <w:t>nti soggetti a</w:t>
      </w:r>
      <w:r w:rsidR="00AA4679">
        <w:rPr>
          <w:rFonts w:ascii="Bodoni MT" w:eastAsia="Times New Roman" w:hAnsi="Bodoni MT" w:cs="Times New Roman"/>
          <w:sz w:val="24"/>
          <w:szCs w:val="24"/>
          <w:lang w:eastAsia="it-IT"/>
        </w:rPr>
        <w:t>lle medesime</w:t>
      </w:r>
      <w:r w:rsidR="00155BFE" w:rsidRPr="00155BFE">
        <w:rPr>
          <w:rFonts w:ascii="Bodoni MT" w:eastAsia="Times New Roman" w:hAnsi="Bodoni MT" w:cs="Times New Roman"/>
          <w:sz w:val="24"/>
          <w:szCs w:val="24"/>
          <w:lang w:eastAsia="it-IT"/>
        </w:rPr>
        <w:t xml:space="preserve"> limitazion</w:t>
      </w:r>
      <w:r w:rsidR="00155BFE">
        <w:rPr>
          <w:rFonts w:ascii="Bodoni MT" w:eastAsia="Times New Roman" w:hAnsi="Bodoni MT" w:cs="Times New Roman"/>
          <w:sz w:val="24"/>
          <w:szCs w:val="24"/>
          <w:lang w:eastAsia="it-IT"/>
        </w:rPr>
        <w:t>i d</w:t>
      </w:r>
      <w:r w:rsidR="00AA4679">
        <w:rPr>
          <w:rFonts w:ascii="Bodoni MT" w:eastAsia="Times New Roman" w:hAnsi="Bodoni MT" w:cs="Times New Roman"/>
          <w:sz w:val="24"/>
          <w:szCs w:val="24"/>
          <w:lang w:eastAsia="it-IT"/>
        </w:rPr>
        <w:t>i</w:t>
      </w:r>
      <w:r w:rsidR="00155BFE">
        <w:rPr>
          <w:rFonts w:ascii="Bodoni MT" w:eastAsia="Times New Roman" w:hAnsi="Bodoni MT" w:cs="Times New Roman"/>
          <w:sz w:val="24"/>
          <w:szCs w:val="24"/>
          <w:lang w:eastAsia="it-IT"/>
        </w:rPr>
        <w:t xml:space="preserve"> spesa e rispettosi del p</w:t>
      </w:r>
      <w:r w:rsidR="00155BFE" w:rsidRPr="00155BFE">
        <w:rPr>
          <w:rFonts w:ascii="Bodoni MT" w:eastAsia="Times New Roman" w:hAnsi="Bodoni MT" w:cs="Times New Roman"/>
          <w:sz w:val="24"/>
          <w:szCs w:val="24"/>
          <w:lang w:eastAsia="it-IT"/>
        </w:rPr>
        <w:t>atto di stabilità interno</w:t>
      </w:r>
      <w:r w:rsidR="00155BFE">
        <w:rPr>
          <w:rFonts w:ascii="Bodoni MT" w:eastAsia="Times New Roman" w:hAnsi="Bodoni MT" w:cs="Times New Roman"/>
          <w:sz w:val="24"/>
          <w:szCs w:val="24"/>
          <w:lang w:eastAsia="it-IT"/>
        </w:rPr>
        <w:t xml:space="preserve">, senza </w:t>
      </w:r>
      <w:r w:rsidR="006B5C15">
        <w:rPr>
          <w:rFonts w:ascii="Bodoni MT" w:eastAsia="Times New Roman" w:hAnsi="Bodoni MT" w:cs="Times New Roman"/>
          <w:sz w:val="24"/>
          <w:szCs w:val="24"/>
          <w:lang w:eastAsia="it-IT"/>
        </w:rPr>
        <w:t>che si determini</w:t>
      </w:r>
      <w:r w:rsidR="001E5364">
        <w:rPr>
          <w:rFonts w:ascii="Bodoni MT" w:eastAsia="Times New Roman" w:hAnsi="Bodoni MT" w:cs="Times New Roman"/>
          <w:sz w:val="24"/>
          <w:szCs w:val="24"/>
          <w:lang w:eastAsia="it-IT"/>
        </w:rPr>
        <w:t xml:space="preserve"> alcuna </w:t>
      </w:r>
      <w:r w:rsidR="00155BFE">
        <w:rPr>
          <w:rFonts w:ascii="Bodoni MT" w:eastAsia="Times New Roman" w:hAnsi="Bodoni MT" w:cs="Times New Roman"/>
          <w:sz w:val="24"/>
          <w:szCs w:val="24"/>
          <w:lang w:eastAsia="it-IT"/>
        </w:rPr>
        <w:t>altera</w:t>
      </w:r>
      <w:r w:rsidR="00FF548E">
        <w:rPr>
          <w:rFonts w:ascii="Bodoni MT" w:eastAsia="Times New Roman" w:hAnsi="Bodoni MT" w:cs="Times New Roman"/>
          <w:sz w:val="24"/>
          <w:szCs w:val="24"/>
          <w:lang w:eastAsia="it-IT"/>
        </w:rPr>
        <w:t>zione della dotazione organica n</w:t>
      </w:r>
      <w:r w:rsidR="00155BFE">
        <w:rPr>
          <w:rFonts w:ascii="Bodoni MT" w:eastAsia="Times New Roman" w:hAnsi="Bodoni MT" w:cs="Times New Roman"/>
          <w:sz w:val="24"/>
          <w:szCs w:val="24"/>
          <w:lang w:eastAsia="it-IT"/>
        </w:rPr>
        <w:t>elle amministrazioni interessate.</w:t>
      </w:r>
      <w:r w:rsidR="009E67EC">
        <w:t xml:space="preserve"> </w:t>
      </w:r>
      <w:r w:rsidR="009E67EC">
        <w:rPr>
          <w:rFonts w:ascii="Bodoni MT" w:eastAsia="Times New Roman" w:hAnsi="Bodoni MT" w:cs="Times New Roman"/>
          <w:sz w:val="24"/>
          <w:szCs w:val="24"/>
          <w:lang w:eastAsia="it-IT"/>
        </w:rPr>
        <w:t>L</w:t>
      </w:r>
      <w:r w:rsidR="009E67EC" w:rsidRPr="009E67EC">
        <w:rPr>
          <w:rFonts w:ascii="Bodoni MT" w:eastAsia="Times New Roman" w:hAnsi="Bodoni MT" w:cs="Times New Roman"/>
          <w:sz w:val="24"/>
          <w:szCs w:val="24"/>
          <w:lang w:eastAsia="it-IT"/>
        </w:rPr>
        <w:t>’interscambio</w:t>
      </w:r>
      <w:r w:rsidR="009E67EC">
        <w:rPr>
          <w:rFonts w:ascii="Bodoni MT" w:eastAsia="Times New Roman" w:hAnsi="Bodoni MT" w:cs="Times New Roman"/>
          <w:sz w:val="24"/>
          <w:szCs w:val="24"/>
          <w:lang w:eastAsia="it-IT"/>
        </w:rPr>
        <w:t>, inoltre,</w:t>
      </w:r>
      <w:r w:rsidR="009E67EC" w:rsidRPr="009E67EC">
        <w:rPr>
          <w:rFonts w:ascii="Bodoni MT" w:eastAsia="Times New Roman" w:hAnsi="Bodoni MT" w:cs="Times New Roman"/>
          <w:sz w:val="24"/>
          <w:szCs w:val="24"/>
          <w:lang w:eastAsia="it-IT"/>
        </w:rPr>
        <w:t xml:space="preserve"> </w:t>
      </w:r>
      <w:r w:rsidR="009E67EC">
        <w:rPr>
          <w:rFonts w:ascii="Bodoni MT" w:eastAsia="Times New Roman" w:hAnsi="Bodoni MT" w:cs="Times New Roman"/>
          <w:sz w:val="24"/>
          <w:szCs w:val="24"/>
          <w:lang w:eastAsia="it-IT"/>
        </w:rPr>
        <w:t>“</w:t>
      </w:r>
      <w:r w:rsidR="009E67EC" w:rsidRPr="009E67EC">
        <w:rPr>
          <w:rFonts w:ascii="Bodoni MT" w:eastAsia="Times New Roman" w:hAnsi="Bodoni MT" w:cs="Times New Roman"/>
          <w:sz w:val="24"/>
          <w:szCs w:val="24"/>
          <w:lang w:eastAsia="it-IT"/>
        </w:rPr>
        <w:t xml:space="preserve">deve avvenire entro un periodo di tempo congruo (contestualità) che consenta agli enti di non abbattere le spese di personale (derivanti dalla cessione del contratto del dipendente transitato in mobilità ad altro ente) qualora </w:t>
      </w:r>
      <w:r w:rsidR="009E67EC" w:rsidRPr="009E67EC">
        <w:rPr>
          <w:rFonts w:ascii="Bodoni MT" w:eastAsia="Times New Roman" w:hAnsi="Bodoni MT" w:cs="Times New Roman"/>
          <w:sz w:val="24"/>
          <w:szCs w:val="24"/>
          <w:lang w:eastAsia="it-IT"/>
        </w:rPr>
        <w:lastRenderedPageBreak/>
        <w:t>l’assunzione del dipendente in entrata slitti dal punto di vista temporale rischiando di traslarsi all’esercizio successivo</w:t>
      </w:r>
      <w:r w:rsidR="009E67EC">
        <w:rPr>
          <w:rFonts w:ascii="Bodoni MT" w:eastAsia="Times New Roman" w:hAnsi="Bodoni MT" w:cs="Times New Roman"/>
          <w:sz w:val="24"/>
          <w:szCs w:val="24"/>
          <w:lang w:eastAsia="it-IT"/>
        </w:rPr>
        <w:t>” (cfr. Sezione controllo Veneto del. 65/2013).</w:t>
      </w:r>
      <w:r w:rsidR="00155BFE">
        <w:rPr>
          <w:rFonts w:ascii="Bodoni MT" w:eastAsia="Times New Roman" w:hAnsi="Bodoni MT" w:cs="Times New Roman"/>
          <w:sz w:val="24"/>
          <w:szCs w:val="24"/>
          <w:lang w:eastAsia="it-IT"/>
        </w:rPr>
        <w:t xml:space="preserve"> </w:t>
      </w:r>
      <w:r w:rsidR="00BC646E">
        <w:rPr>
          <w:rFonts w:ascii="Bodoni MT" w:eastAsia="Times New Roman" w:hAnsi="Bodoni MT" w:cs="Times New Roman"/>
          <w:sz w:val="24"/>
          <w:szCs w:val="24"/>
          <w:lang w:eastAsia="it-IT"/>
        </w:rPr>
        <w:t>In</w:t>
      </w:r>
      <w:r w:rsidR="00885411">
        <w:rPr>
          <w:rFonts w:ascii="Bodoni MT" w:eastAsia="Times New Roman" w:hAnsi="Bodoni MT" w:cs="Times New Roman"/>
          <w:sz w:val="24"/>
          <w:szCs w:val="24"/>
          <w:lang w:eastAsia="it-IT"/>
        </w:rPr>
        <w:t>fine</w:t>
      </w:r>
      <w:r w:rsidR="00BC646E">
        <w:rPr>
          <w:rFonts w:ascii="Bodoni MT" w:eastAsia="Times New Roman" w:hAnsi="Bodoni MT" w:cs="Times New Roman"/>
          <w:sz w:val="24"/>
          <w:szCs w:val="24"/>
          <w:lang w:eastAsia="it-IT"/>
        </w:rPr>
        <w:t xml:space="preserve">, </w:t>
      </w:r>
      <w:r w:rsidR="00BC646E" w:rsidRPr="00BC646E">
        <w:rPr>
          <w:rFonts w:ascii="Bodoni MT" w:eastAsia="Times New Roman" w:hAnsi="Bodoni MT" w:cs="Times New Roman"/>
          <w:sz w:val="24"/>
          <w:szCs w:val="24"/>
          <w:lang w:eastAsia="it-IT"/>
        </w:rPr>
        <w:t>il personale soggetto ad interscambio non deve essere stato dichiarato in sovrannumero ai sensi dell'art. 33 del d.lgs. n. 165/2001 e dell'art. 2, commi 11, 12 e 13, del d.l. n. 95/20</w:t>
      </w:r>
      <w:r w:rsidR="00BC646E">
        <w:rPr>
          <w:rFonts w:ascii="Bodoni MT" w:eastAsia="Times New Roman" w:hAnsi="Bodoni MT" w:cs="Times New Roman"/>
          <w:sz w:val="24"/>
          <w:szCs w:val="24"/>
          <w:lang w:eastAsia="it-IT"/>
        </w:rPr>
        <w:t>12.</w:t>
      </w:r>
    </w:p>
    <w:p w:rsidR="0020147B" w:rsidRDefault="009E67EC" w:rsidP="0020147B">
      <w:pPr>
        <w:spacing w:before="0" w:after="0"/>
        <w:ind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In presenza di tali presupposti,</w:t>
      </w:r>
      <w:r w:rsidR="00F879AF">
        <w:rPr>
          <w:rFonts w:ascii="Bodoni MT" w:eastAsia="Times New Roman" w:hAnsi="Bodoni MT" w:cs="Times New Roman"/>
          <w:sz w:val="24"/>
          <w:szCs w:val="24"/>
          <w:lang w:eastAsia="it-IT"/>
        </w:rPr>
        <w:t xml:space="preserve"> pertanto,</w:t>
      </w:r>
      <w:r>
        <w:rPr>
          <w:rFonts w:ascii="Bodoni MT" w:eastAsia="Times New Roman" w:hAnsi="Bodoni MT" w:cs="Times New Roman"/>
          <w:sz w:val="24"/>
          <w:szCs w:val="24"/>
          <w:lang w:eastAsia="it-IT"/>
        </w:rPr>
        <w:t xml:space="preserve"> non </w:t>
      </w:r>
      <w:r w:rsidR="00F879AF">
        <w:rPr>
          <w:rFonts w:ascii="Bodoni MT" w:eastAsia="Times New Roman" w:hAnsi="Bodoni MT" w:cs="Times New Roman"/>
          <w:sz w:val="24"/>
          <w:szCs w:val="24"/>
          <w:lang w:eastAsia="it-IT"/>
        </w:rPr>
        <w:t>risulterebbero</w:t>
      </w:r>
      <w:r>
        <w:rPr>
          <w:rFonts w:ascii="Bodoni MT" w:eastAsia="Times New Roman" w:hAnsi="Bodoni MT" w:cs="Times New Roman"/>
          <w:sz w:val="24"/>
          <w:szCs w:val="24"/>
          <w:lang w:eastAsia="it-IT"/>
        </w:rPr>
        <w:t xml:space="preserve"> sottratti spazi</w:t>
      </w:r>
      <w:r w:rsidR="006B5380" w:rsidRPr="006B5380">
        <w:rPr>
          <w:rFonts w:ascii="Bodoni MT" w:eastAsia="Times New Roman" w:hAnsi="Bodoni MT" w:cs="Times New Roman"/>
          <w:sz w:val="24"/>
          <w:szCs w:val="24"/>
          <w:lang w:eastAsia="it-IT"/>
        </w:rPr>
        <w:t xml:space="preserve"> </w:t>
      </w:r>
      <w:r w:rsidR="00F879AF">
        <w:rPr>
          <w:rFonts w:ascii="Bodoni MT" w:eastAsia="Times New Roman" w:hAnsi="Bodoni MT" w:cs="Times New Roman"/>
          <w:sz w:val="24"/>
          <w:szCs w:val="24"/>
          <w:lang w:eastAsia="it-IT"/>
        </w:rPr>
        <w:t xml:space="preserve">utili </w:t>
      </w:r>
      <w:r w:rsidR="006B5380" w:rsidRPr="006B5380">
        <w:rPr>
          <w:rFonts w:ascii="Bodoni MT" w:eastAsia="Times New Roman" w:hAnsi="Bodoni MT" w:cs="Times New Roman"/>
          <w:sz w:val="24"/>
          <w:szCs w:val="24"/>
          <w:lang w:eastAsia="it-IT"/>
        </w:rPr>
        <w:t xml:space="preserve">alla ricollocazione del personale eccedentario </w:t>
      </w:r>
      <w:r>
        <w:rPr>
          <w:rFonts w:ascii="Bodoni MT" w:eastAsia="Times New Roman" w:hAnsi="Bodoni MT" w:cs="Times New Roman"/>
          <w:sz w:val="24"/>
          <w:szCs w:val="24"/>
          <w:lang w:eastAsia="it-IT"/>
        </w:rPr>
        <w:t>di area vasta</w:t>
      </w:r>
      <w:r w:rsidR="00D32B95">
        <w:rPr>
          <w:rFonts w:ascii="Bodoni MT" w:eastAsia="Times New Roman" w:hAnsi="Bodoni MT" w:cs="Times New Roman"/>
          <w:sz w:val="24"/>
          <w:szCs w:val="24"/>
          <w:lang w:eastAsia="it-IT"/>
        </w:rPr>
        <w:t>, non intaccando, così, la finalità primaria perseguita dall’art. 1, c. 424, della l. 190/2014.</w:t>
      </w:r>
    </w:p>
    <w:p w:rsidR="00AC1EB0" w:rsidRPr="00154DE9" w:rsidRDefault="00AC1EB0" w:rsidP="00192250">
      <w:pPr>
        <w:spacing w:before="0" w:after="0"/>
        <w:ind w:firstLine="284"/>
        <w:rPr>
          <w:rFonts w:ascii="Bodoni MT" w:eastAsia="Times New Roman" w:hAnsi="Bodoni MT" w:cs="Times New Roman"/>
          <w:sz w:val="24"/>
          <w:szCs w:val="24"/>
          <w:lang w:eastAsia="it-IT"/>
        </w:rPr>
      </w:pPr>
      <w:r w:rsidRPr="00AC1EB0">
        <w:rPr>
          <w:rFonts w:ascii="Bodoni MT" w:eastAsia="Times New Roman" w:hAnsi="Bodoni MT" w:cs="Times New Roman"/>
          <w:sz w:val="24"/>
          <w:szCs w:val="24"/>
          <w:lang w:eastAsia="it-IT"/>
        </w:rPr>
        <w:t xml:space="preserve">In ogni caso, </w:t>
      </w:r>
      <w:r w:rsidR="003F497E">
        <w:rPr>
          <w:rFonts w:ascii="Bodoni MT" w:eastAsia="Times New Roman" w:hAnsi="Bodoni MT" w:cs="Times New Roman"/>
          <w:sz w:val="24"/>
          <w:szCs w:val="24"/>
          <w:lang w:eastAsia="it-IT"/>
        </w:rPr>
        <w:t xml:space="preserve">come affermato dalla nota </w:t>
      </w:r>
      <w:r w:rsidR="003F497E" w:rsidRPr="003F497E">
        <w:rPr>
          <w:rFonts w:ascii="Bodoni MT" w:eastAsia="Times New Roman" w:hAnsi="Bodoni MT" w:cs="Times New Roman"/>
          <w:sz w:val="24"/>
          <w:szCs w:val="24"/>
          <w:lang w:eastAsia="it-IT"/>
        </w:rPr>
        <w:t>n. 20506 del 27 marzo 2015</w:t>
      </w:r>
      <w:r w:rsidR="003F497E">
        <w:rPr>
          <w:rFonts w:ascii="Bodoni MT" w:eastAsia="Times New Roman" w:hAnsi="Bodoni MT" w:cs="Times New Roman"/>
          <w:sz w:val="24"/>
          <w:szCs w:val="24"/>
          <w:lang w:eastAsia="it-IT"/>
        </w:rPr>
        <w:t xml:space="preserve"> adottata</w:t>
      </w:r>
      <w:r w:rsidR="003F497E" w:rsidRPr="003F497E">
        <w:rPr>
          <w:rFonts w:ascii="Bodoni MT" w:eastAsia="Times New Roman" w:hAnsi="Bodoni MT" w:cs="Times New Roman"/>
          <w:sz w:val="24"/>
          <w:szCs w:val="24"/>
          <w:lang w:eastAsia="it-IT"/>
        </w:rPr>
        <w:t xml:space="preserve"> </w:t>
      </w:r>
      <w:r w:rsidR="003F497E">
        <w:rPr>
          <w:rFonts w:ascii="Bodoni MT" w:eastAsia="Times New Roman" w:hAnsi="Bodoni MT" w:cs="Times New Roman"/>
          <w:sz w:val="24"/>
          <w:szCs w:val="24"/>
          <w:lang w:eastAsia="it-IT"/>
        </w:rPr>
        <w:t xml:space="preserve">dal Dipartimento della Funzione Pubblica, </w:t>
      </w:r>
      <w:r w:rsidRPr="00AC1EB0">
        <w:rPr>
          <w:rFonts w:ascii="Bodoni MT" w:eastAsia="Times New Roman" w:hAnsi="Bodoni MT" w:cs="Times New Roman"/>
          <w:sz w:val="24"/>
          <w:szCs w:val="24"/>
          <w:lang w:eastAsia="it-IT"/>
        </w:rPr>
        <w:t xml:space="preserve">rimane ferma la necessità che le amministrazioni coinvolte accertino </w:t>
      </w:r>
      <w:r w:rsidR="005271E1">
        <w:rPr>
          <w:rFonts w:ascii="Bodoni MT" w:eastAsia="Times New Roman" w:hAnsi="Bodoni MT" w:cs="Times New Roman"/>
          <w:sz w:val="24"/>
          <w:szCs w:val="24"/>
          <w:lang w:eastAsia="it-IT"/>
        </w:rPr>
        <w:t>l’assenza di controinteressati</w:t>
      </w:r>
      <w:r w:rsidRPr="00AC1EB0">
        <w:rPr>
          <w:rFonts w:ascii="Bodoni MT" w:eastAsia="Times New Roman" w:hAnsi="Bodoni MT" w:cs="Times New Roman"/>
          <w:sz w:val="24"/>
          <w:szCs w:val="24"/>
          <w:lang w:eastAsia="it-IT"/>
        </w:rPr>
        <w:t>, nel rispetto dei principi di imparzialità e trasparenza.</w:t>
      </w:r>
    </w:p>
    <w:p w:rsidR="00E31AEC" w:rsidRDefault="00E31AEC" w:rsidP="00DE4E19">
      <w:pPr>
        <w:spacing w:before="120" w:after="120"/>
        <w:ind w:firstLine="284"/>
        <w:jc w:val="center"/>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 *</w:t>
      </w:r>
    </w:p>
    <w:p w:rsidR="00E31AEC" w:rsidRPr="00426926" w:rsidRDefault="00E31AEC" w:rsidP="00E31AEC">
      <w:pPr>
        <w:spacing w:before="0" w:after="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Nelle sopra esposte considerazioni è il parere della Corte dei conti - Sezione regionale di controllo per la Toscana, in relazione alla richiesta formulata dal </w:t>
      </w:r>
      <w:r>
        <w:rPr>
          <w:rFonts w:ascii="Bodoni MT" w:eastAsia="Times New Roman" w:hAnsi="Bodoni MT" w:cs="Times New Roman"/>
          <w:sz w:val="24"/>
          <w:szCs w:val="24"/>
          <w:lang w:eastAsia="it-IT"/>
        </w:rPr>
        <w:t xml:space="preserve">comune di </w:t>
      </w:r>
      <w:r w:rsidR="00DF1873">
        <w:rPr>
          <w:rFonts w:ascii="Bodoni MT" w:eastAsia="Times New Roman" w:hAnsi="Bodoni MT" w:cs="Times New Roman"/>
          <w:sz w:val="24"/>
          <w:szCs w:val="24"/>
          <w:lang w:eastAsia="it-IT"/>
        </w:rPr>
        <w:t>Carrara</w:t>
      </w:r>
      <w:r>
        <w:rPr>
          <w:rFonts w:ascii="Bodoni MT" w:eastAsia="Times New Roman" w:hAnsi="Bodoni MT" w:cs="Times New Roman"/>
          <w:sz w:val="24"/>
          <w:szCs w:val="24"/>
          <w:lang w:eastAsia="it-IT"/>
        </w:rPr>
        <w:t xml:space="preserve"> ed</w:t>
      </w:r>
      <w:r w:rsidRPr="00542E60">
        <w:t xml:space="preserve"> </w:t>
      </w:r>
      <w:r w:rsidRPr="00542E60">
        <w:rPr>
          <w:rFonts w:ascii="Bodoni MT" w:eastAsia="Times New Roman" w:hAnsi="Bodoni MT" w:cs="Times New Roman"/>
          <w:sz w:val="24"/>
          <w:szCs w:val="24"/>
          <w:lang w:eastAsia="it-IT"/>
        </w:rPr>
        <w:t>inoltrata dal Consiglio delle autonomie locali con nota</w:t>
      </w:r>
      <w:r>
        <w:rPr>
          <w:rFonts w:ascii="Bodoni MT" w:eastAsia="Times New Roman" w:hAnsi="Bodoni MT" w:cs="Times New Roman"/>
          <w:sz w:val="24"/>
          <w:szCs w:val="24"/>
          <w:lang w:eastAsia="it-IT"/>
        </w:rPr>
        <w:t xml:space="preserve"> prot. n. </w:t>
      </w:r>
      <w:r w:rsidR="00DF1873" w:rsidRPr="00DF1873">
        <w:rPr>
          <w:rFonts w:ascii="Bodoni MT" w:eastAsia="Times New Roman" w:hAnsi="Bodoni MT" w:cs="Times New Roman"/>
          <w:sz w:val="24"/>
          <w:szCs w:val="24"/>
          <w:lang w:eastAsia="it-IT"/>
        </w:rPr>
        <w:t>21977/1.13.9</w:t>
      </w:r>
      <w:r w:rsidR="00DF1873">
        <w:rPr>
          <w:rFonts w:ascii="Bodoni MT" w:eastAsia="Times New Roman" w:hAnsi="Bodoni MT" w:cs="Times New Roman"/>
          <w:sz w:val="24"/>
          <w:szCs w:val="24"/>
          <w:lang w:eastAsia="it-IT"/>
        </w:rPr>
        <w:t>.</w:t>
      </w:r>
    </w:p>
    <w:p w:rsidR="00E31AEC" w:rsidRPr="00426926" w:rsidRDefault="00E31AEC" w:rsidP="00E31AEC">
      <w:pPr>
        <w:spacing w:before="0" w:after="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Copia della presente deliberazione è trasmessa al </w:t>
      </w:r>
      <w:r w:rsidRPr="00404B5E">
        <w:rPr>
          <w:rFonts w:ascii="Bodoni MT" w:eastAsia="Times New Roman" w:hAnsi="Bodoni MT" w:cs="Times New Roman"/>
          <w:sz w:val="24"/>
          <w:szCs w:val="24"/>
          <w:lang w:eastAsia="it-IT"/>
        </w:rPr>
        <w:t xml:space="preserve">Presidente del Consiglio delle autonomie locali della Regione Toscana, e, per conoscenza, al Sindaco del comune di </w:t>
      </w:r>
      <w:r>
        <w:rPr>
          <w:rFonts w:ascii="Bodoni MT" w:eastAsia="Times New Roman" w:hAnsi="Bodoni MT" w:cs="Times New Roman"/>
          <w:sz w:val="24"/>
          <w:szCs w:val="24"/>
          <w:lang w:eastAsia="it-IT"/>
        </w:rPr>
        <w:t>Carrara</w:t>
      </w:r>
      <w:r w:rsidRPr="00EC7D66">
        <w:rPr>
          <w:rFonts w:ascii="Bodoni MT" w:eastAsia="Times New Roman" w:hAnsi="Bodoni MT" w:cs="Times New Roman"/>
          <w:sz w:val="24"/>
          <w:szCs w:val="24"/>
          <w:lang w:eastAsia="it-IT"/>
        </w:rPr>
        <w:t xml:space="preserve"> </w:t>
      </w:r>
      <w:r w:rsidRPr="00404B5E">
        <w:rPr>
          <w:rFonts w:ascii="Bodoni MT" w:eastAsia="Times New Roman" w:hAnsi="Bodoni MT" w:cs="Times New Roman"/>
          <w:sz w:val="24"/>
          <w:szCs w:val="24"/>
          <w:lang w:eastAsia="it-IT"/>
        </w:rPr>
        <w:t>e</w:t>
      </w:r>
      <w:r>
        <w:rPr>
          <w:rFonts w:ascii="Bodoni MT" w:eastAsia="Times New Roman" w:hAnsi="Bodoni MT" w:cs="Times New Roman"/>
          <w:sz w:val="24"/>
          <w:szCs w:val="24"/>
          <w:lang w:eastAsia="it-IT"/>
        </w:rPr>
        <w:t>d</w:t>
      </w:r>
      <w:r w:rsidRPr="00404B5E">
        <w:rPr>
          <w:rFonts w:ascii="Bodoni MT" w:eastAsia="Times New Roman" w:hAnsi="Bodoni MT" w:cs="Times New Roman"/>
          <w:sz w:val="24"/>
          <w:szCs w:val="24"/>
          <w:lang w:eastAsia="it-IT"/>
        </w:rPr>
        <w:t xml:space="preserve"> al Presidente del relativo Consiglio</w:t>
      </w:r>
      <w:r>
        <w:rPr>
          <w:rFonts w:ascii="Bodoni MT" w:eastAsia="Times New Roman" w:hAnsi="Bodoni MT" w:cs="Times New Roman"/>
          <w:sz w:val="24"/>
          <w:szCs w:val="24"/>
          <w:lang w:eastAsia="it-IT"/>
        </w:rPr>
        <w:t>.</w:t>
      </w:r>
    </w:p>
    <w:p w:rsidR="00E31AEC" w:rsidRPr="00426926" w:rsidRDefault="00E31AEC" w:rsidP="002569B0">
      <w:pPr>
        <w:spacing w:before="0" w:after="0"/>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Firenze, </w:t>
      </w:r>
      <w:r w:rsidR="00ED65A6">
        <w:rPr>
          <w:rFonts w:ascii="Bodoni MT" w:eastAsia="Times New Roman" w:hAnsi="Bodoni MT" w:cs="Times New Roman"/>
          <w:sz w:val="24"/>
          <w:szCs w:val="24"/>
          <w:lang w:eastAsia="it-IT"/>
        </w:rPr>
        <w:t xml:space="preserve">20 ottobre </w:t>
      </w:r>
      <w:r>
        <w:rPr>
          <w:rFonts w:ascii="Bodoni MT" w:eastAsia="Times New Roman" w:hAnsi="Bodoni MT" w:cs="Times New Roman"/>
          <w:sz w:val="24"/>
          <w:szCs w:val="24"/>
          <w:lang w:eastAsia="it-IT"/>
        </w:rPr>
        <w:t>2015</w:t>
      </w:r>
    </w:p>
    <w:p w:rsidR="00E31AEC" w:rsidRPr="00426926" w:rsidRDefault="00E31AEC" w:rsidP="00E31AEC">
      <w:pPr>
        <w:spacing w:before="0" w:after="0"/>
        <w:ind w:firstLine="284"/>
        <w:rPr>
          <w:rFonts w:ascii="Bodoni MT" w:eastAsia="Times New Roman" w:hAnsi="Bodoni MT" w:cs="Times New Roman"/>
          <w:sz w:val="24"/>
          <w:szCs w:val="24"/>
          <w:lang w:eastAsia="it-IT"/>
        </w:rPr>
      </w:pPr>
    </w:p>
    <w:p w:rsidR="00E31AEC" w:rsidRPr="00426926" w:rsidRDefault="002569B0" w:rsidP="002569B0">
      <w:pPr>
        <w:spacing w:before="0" w:after="0" w:line="240" w:lineRule="auto"/>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            </w:t>
      </w:r>
      <w:r w:rsidR="00E31AEC" w:rsidRPr="00426926">
        <w:rPr>
          <w:rFonts w:ascii="Bodoni MT" w:eastAsia="Times New Roman" w:hAnsi="Bodoni MT" w:cs="Times New Roman"/>
          <w:sz w:val="24"/>
          <w:szCs w:val="24"/>
          <w:lang w:eastAsia="it-IT"/>
        </w:rPr>
        <w:t>L</w:t>
      </w:r>
      <w:r w:rsidR="00E31AEC">
        <w:rPr>
          <w:rFonts w:ascii="Bodoni MT" w:eastAsia="Times New Roman" w:hAnsi="Bodoni MT" w:cs="Times New Roman"/>
          <w:sz w:val="24"/>
          <w:szCs w:val="24"/>
          <w:lang w:eastAsia="it-IT"/>
        </w:rPr>
        <w:t>’estensore</w:t>
      </w:r>
      <w:r w:rsidR="00E31AEC">
        <w:rPr>
          <w:rFonts w:ascii="Bodoni MT" w:eastAsia="Times New Roman" w:hAnsi="Bodoni MT" w:cs="Times New Roman"/>
          <w:sz w:val="24"/>
          <w:szCs w:val="24"/>
          <w:lang w:eastAsia="it-IT"/>
        </w:rPr>
        <w:tab/>
      </w:r>
      <w:r w:rsidR="00E31AEC">
        <w:rPr>
          <w:rFonts w:ascii="Bodoni MT" w:eastAsia="Times New Roman" w:hAnsi="Bodoni MT" w:cs="Times New Roman"/>
          <w:sz w:val="24"/>
          <w:szCs w:val="24"/>
          <w:lang w:eastAsia="it-IT"/>
        </w:rPr>
        <w:tab/>
      </w:r>
      <w:r w:rsidR="00E31AEC">
        <w:rPr>
          <w:rFonts w:ascii="Bodoni MT" w:eastAsia="Times New Roman" w:hAnsi="Bodoni MT" w:cs="Times New Roman"/>
          <w:sz w:val="24"/>
          <w:szCs w:val="24"/>
          <w:lang w:eastAsia="it-IT"/>
        </w:rPr>
        <w:tab/>
      </w:r>
      <w:r w:rsidR="00E31AEC">
        <w:rPr>
          <w:rFonts w:ascii="Bodoni MT" w:eastAsia="Times New Roman" w:hAnsi="Bodoni MT" w:cs="Times New Roman"/>
          <w:sz w:val="24"/>
          <w:szCs w:val="24"/>
          <w:lang w:eastAsia="it-IT"/>
        </w:rPr>
        <w:tab/>
      </w:r>
      <w:r w:rsidR="00E31AEC">
        <w:rPr>
          <w:rFonts w:ascii="Bodoni MT" w:eastAsia="Times New Roman" w:hAnsi="Bodoni MT" w:cs="Times New Roman"/>
          <w:sz w:val="24"/>
          <w:szCs w:val="24"/>
          <w:lang w:eastAsia="it-IT"/>
        </w:rPr>
        <w:tab/>
      </w:r>
      <w:r w:rsidR="00E31AEC">
        <w:rPr>
          <w:rFonts w:ascii="Bodoni MT" w:eastAsia="Times New Roman" w:hAnsi="Bodoni MT" w:cs="Times New Roman"/>
          <w:sz w:val="24"/>
          <w:szCs w:val="24"/>
          <w:lang w:eastAsia="it-IT"/>
        </w:rPr>
        <w:tab/>
      </w:r>
      <w:r w:rsidR="00E31AEC">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 xml:space="preserve">       </w:t>
      </w:r>
      <w:r w:rsidR="00E31AEC">
        <w:rPr>
          <w:rFonts w:ascii="Bodoni MT" w:eastAsia="Times New Roman" w:hAnsi="Bodoni MT" w:cs="Times New Roman"/>
          <w:sz w:val="24"/>
          <w:szCs w:val="24"/>
          <w:lang w:eastAsia="it-IT"/>
        </w:rPr>
        <w:t>Il presi</w:t>
      </w:r>
      <w:r>
        <w:rPr>
          <w:rFonts w:ascii="Bodoni MT" w:eastAsia="Times New Roman" w:hAnsi="Bodoni MT" w:cs="Times New Roman"/>
          <w:sz w:val="24"/>
          <w:szCs w:val="24"/>
          <w:lang w:eastAsia="it-IT"/>
        </w:rPr>
        <w:t>dente</w:t>
      </w:r>
    </w:p>
    <w:p w:rsidR="00E31AEC" w:rsidRPr="00426926" w:rsidRDefault="00797071" w:rsidP="00E31AEC">
      <w:pPr>
        <w:spacing w:before="0" w:after="0" w:line="240" w:lineRule="auto"/>
        <w:ind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Paolo </w:t>
      </w:r>
      <w:r w:rsidR="0020130D">
        <w:rPr>
          <w:rFonts w:ascii="Bodoni MT" w:eastAsia="Times New Roman" w:hAnsi="Bodoni MT" w:cs="Times New Roman"/>
          <w:sz w:val="24"/>
          <w:szCs w:val="24"/>
          <w:lang w:eastAsia="it-IT"/>
        </w:rPr>
        <w:t>PELUFFO</w:t>
      </w:r>
      <w:r w:rsidR="0020130D">
        <w:rPr>
          <w:rFonts w:ascii="Bodoni MT" w:eastAsia="Times New Roman" w:hAnsi="Bodoni MT" w:cs="Times New Roman"/>
          <w:sz w:val="24"/>
          <w:szCs w:val="24"/>
          <w:lang w:eastAsia="it-IT"/>
        </w:rPr>
        <w:tab/>
      </w:r>
      <w:r w:rsidR="0020130D">
        <w:rPr>
          <w:rFonts w:ascii="Bodoni MT" w:eastAsia="Times New Roman" w:hAnsi="Bodoni MT" w:cs="Times New Roman"/>
          <w:sz w:val="24"/>
          <w:szCs w:val="24"/>
          <w:lang w:eastAsia="it-IT"/>
        </w:rPr>
        <w:tab/>
      </w:r>
      <w:r w:rsidR="0020130D">
        <w:rPr>
          <w:rFonts w:ascii="Bodoni MT" w:eastAsia="Times New Roman" w:hAnsi="Bodoni MT" w:cs="Times New Roman"/>
          <w:sz w:val="24"/>
          <w:szCs w:val="24"/>
          <w:lang w:eastAsia="it-IT"/>
        </w:rPr>
        <w:tab/>
      </w:r>
      <w:r w:rsidR="0020130D">
        <w:rPr>
          <w:rFonts w:ascii="Bodoni MT" w:eastAsia="Times New Roman" w:hAnsi="Bodoni MT" w:cs="Times New Roman"/>
          <w:sz w:val="24"/>
          <w:szCs w:val="24"/>
          <w:lang w:eastAsia="it-IT"/>
        </w:rPr>
        <w:tab/>
      </w:r>
      <w:r w:rsidR="0020130D">
        <w:rPr>
          <w:rFonts w:ascii="Bodoni MT" w:eastAsia="Times New Roman" w:hAnsi="Bodoni MT" w:cs="Times New Roman"/>
          <w:sz w:val="24"/>
          <w:szCs w:val="24"/>
          <w:lang w:eastAsia="it-IT"/>
        </w:rPr>
        <w:tab/>
        <w:t xml:space="preserve">     </w:t>
      </w:r>
      <w:r>
        <w:rPr>
          <w:rFonts w:ascii="Bodoni MT" w:eastAsia="Times New Roman" w:hAnsi="Bodoni MT" w:cs="Times New Roman"/>
          <w:sz w:val="24"/>
          <w:szCs w:val="24"/>
          <w:lang w:eastAsia="it-IT"/>
        </w:rPr>
        <w:t>f.to</w:t>
      </w:r>
      <w:r w:rsidR="002569B0">
        <w:rPr>
          <w:rFonts w:ascii="Bodoni MT" w:eastAsia="Times New Roman" w:hAnsi="Bodoni MT" w:cs="Times New Roman"/>
          <w:sz w:val="24"/>
          <w:szCs w:val="24"/>
          <w:lang w:eastAsia="it-IT"/>
        </w:rPr>
        <w:t xml:space="preserve"> Roberto TABBITA</w:t>
      </w:r>
    </w:p>
    <w:p w:rsidR="00E31AEC" w:rsidRPr="00426926" w:rsidRDefault="00E31AEC" w:rsidP="00E31AEC">
      <w:pPr>
        <w:spacing w:before="0" w:after="0"/>
        <w:ind w:firstLine="284"/>
        <w:rPr>
          <w:rFonts w:ascii="Bodoni MT" w:eastAsia="Times New Roman" w:hAnsi="Bodoni MT" w:cs="Times New Roman"/>
          <w:sz w:val="24"/>
          <w:szCs w:val="24"/>
          <w:lang w:eastAsia="it-IT"/>
        </w:rPr>
      </w:pPr>
    </w:p>
    <w:p w:rsidR="00E31AEC" w:rsidRPr="00426926" w:rsidRDefault="00E31AEC" w:rsidP="00E31AEC">
      <w:pPr>
        <w:spacing w:before="0" w:after="0"/>
        <w:ind w:firstLine="284"/>
        <w:rPr>
          <w:rFonts w:ascii="Bodoni MT" w:eastAsia="Times New Roman" w:hAnsi="Bodoni MT" w:cs="Times New Roman"/>
          <w:sz w:val="24"/>
          <w:szCs w:val="24"/>
          <w:lang w:eastAsia="it-IT"/>
        </w:rPr>
      </w:pPr>
    </w:p>
    <w:p w:rsidR="00E31AEC" w:rsidRPr="00426926" w:rsidRDefault="00E31AEC" w:rsidP="002569B0">
      <w:pPr>
        <w:spacing w:before="0" w:after="0"/>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Depositata in Segreteria </w:t>
      </w:r>
      <w:r w:rsidR="002569B0">
        <w:rPr>
          <w:rFonts w:ascii="Bodoni MT" w:eastAsia="Times New Roman" w:hAnsi="Bodoni MT" w:cs="Times New Roman"/>
          <w:sz w:val="24"/>
          <w:szCs w:val="24"/>
          <w:lang w:eastAsia="it-IT"/>
        </w:rPr>
        <w:t>il</w:t>
      </w:r>
      <w:r w:rsidR="007D3561">
        <w:rPr>
          <w:rFonts w:ascii="Bodoni MT" w:eastAsia="Times New Roman" w:hAnsi="Bodoni MT" w:cs="Times New Roman"/>
          <w:sz w:val="24"/>
          <w:szCs w:val="24"/>
          <w:lang w:eastAsia="it-IT"/>
        </w:rPr>
        <w:t xml:space="preserve"> 20 ottobre 2015</w:t>
      </w:r>
    </w:p>
    <w:p w:rsidR="00E31AEC" w:rsidRPr="00426926" w:rsidRDefault="00E31AEC" w:rsidP="002569B0">
      <w:pPr>
        <w:spacing w:before="0" w:after="0" w:line="240" w:lineRule="auto"/>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Il funzionario preposto al Servizio di supporto </w:t>
      </w:r>
    </w:p>
    <w:p w:rsidR="00E31AEC" w:rsidRPr="00426926" w:rsidRDefault="00797071" w:rsidP="002569B0">
      <w:pPr>
        <w:spacing w:before="0" w:after="200" w:line="276" w:lineRule="auto"/>
        <w:ind w:left="708" w:firstLine="708"/>
        <w:jc w:val="left"/>
        <w:rPr>
          <w:rFonts w:ascii="Bodoni MT" w:eastAsia="Calibri" w:hAnsi="Bodoni MT" w:cs="Times New Roman"/>
          <w:sz w:val="24"/>
          <w:szCs w:val="24"/>
        </w:rPr>
      </w:pPr>
      <w:r>
        <w:rPr>
          <w:rFonts w:ascii="Bodoni MT" w:eastAsia="Calibri" w:hAnsi="Bodoni MT" w:cs="Times New Roman"/>
          <w:sz w:val="24"/>
          <w:szCs w:val="24"/>
        </w:rPr>
        <w:t xml:space="preserve">f.to </w:t>
      </w:r>
      <w:r w:rsidR="002569B0">
        <w:rPr>
          <w:rFonts w:ascii="Bodoni MT" w:eastAsia="Calibri" w:hAnsi="Bodoni MT" w:cs="Times New Roman"/>
          <w:sz w:val="24"/>
          <w:szCs w:val="24"/>
        </w:rPr>
        <w:t>Claudio FELLI</w:t>
      </w:r>
    </w:p>
    <w:p w:rsidR="00E31AEC" w:rsidRDefault="00E31AEC" w:rsidP="00E31AEC"/>
    <w:p w:rsidR="00BE2456" w:rsidRDefault="006058AC"/>
    <w:sectPr w:rsidR="00BE2456" w:rsidSect="004359C5">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8AC" w:rsidRDefault="006058AC">
      <w:pPr>
        <w:spacing w:before="0" w:after="0" w:line="240" w:lineRule="auto"/>
      </w:pPr>
      <w:r>
        <w:separator/>
      </w:r>
    </w:p>
  </w:endnote>
  <w:endnote w:type="continuationSeparator" w:id="0">
    <w:p w:rsidR="006058AC" w:rsidRDefault="006058A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doni MT">
    <w:panose1 w:val="020706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020621"/>
      <w:docPartObj>
        <w:docPartGallery w:val="Page Numbers (Bottom of Page)"/>
        <w:docPartUnique/>
      </w:docPartObj>
    </w:sdtPr>
    <w:sdtEndPr>
      <w:rPr>
        <w:rFonts w:ascii="Bodoni MT" w:hAnsi="Bodoni MT"/>
        <w:sz w:val="20"/>
        <w:szCs w:val="20"/>
      </w:rPr>
    </w:sdtEndPr>
    <w:sdtContent>
      <w:p w:rsidR="004359C5" w:rsidRPr="003456D5" w:rsidRDefault="009E67EC">
        <w:pPr>
          <w:pStyle w:val="Pidipagina"/>
          <w:jc w:val="center"/>
          <w:rPr>
            <w:rFonts w:ascii="Bodoni MT" w:hAnsi="Bodoni MT"/>
            <w:sz w:val="20"/>
            <w:szCs w:val="20"/>
          </w:rPr>
        </w:pPr>
        <w:r w:rsidRPr="003456D5">
          <w:rPr>
            <w:rFonts w:ascii="Bodoni MT" w:hAnsi="Bodoni MT"/>
            <w:sz w:val="20"/>
            <w:szCs w:val="20"/>
          </w:rPr>
          <w:fldChar w:fldCharType="begin"/>
        </w:r>
        <w:r w:rsidRPr="003456D5">
          <w:rPr>
            <w:rFonts w:ascii="Bodoni MT" w:hAnsi="Bodoni MT"/>
            <w:sz w:val="20"/>
            <w:szCs w:val="20"/>
          </w:rPr>
          <w:instrText>PAGE   \* MERGEFORMAT</w:instrText>
        </w:r>
        <w:r w:rsidRPr="003456D5">
          <w:rPr>
            <w:rFonts w:ascii="Bodoni MT" w:hAnsi="Bodoni MT"/>
            <w:sz w:val="20"/>
            <w:szCs w:val="20"/>
          </w:rPr>
          <w:fldChar w:fldCharType="separate"/>
        </w:r>
        <w:r w:rsidR="00350305">
          <w:rPr>
            <w:rFonts w:ascii="Bodoni MT" w:hAnsi="Bodoni MT"/>
            <w:noProof/>
            <w:sz w:val="20"/>
            <w:szCs w:val="20"/>
          </w:rPr>
          <w:t>1</w:t>
        </w:r>
        <w:r w:rsidRPr="003456D5">
          <w:rPr>
            <w:rFonts w:ascii="Bodoni MT" w:hAnsi="Bodoni MT"/>
            <w:sz w:val="20"/>
            <w:szCs w:val="20"/>
          </w:rPr>
          <w:fldChar w:fldCharType="end"/>
        </w:r>
      </w:p>
    </w:sdtContent>
  </w:sdt>
  <w:p w:rsidR="004359C5" w:rsidRDefault="006058A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8AC" w:rsidRDefault="006058AC">
      <w:pPr>
        <w:spacing w:before="0" w:after="0" w:line="240" w:lineRule="auto"/>
      </w:pPr>
      <w:r>
        <w:separator/>
      </w:r>
    </w:p>
  </w:footnote>
  <w:footnote w:type="continuationSeparator" w:id="0">
    <w:p w:rsidR="006058AC" w:rsidRDefault="006058AC">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BC2116"/>
    <w:multiLevelType w:val="hybridMultilevel"/>
    <w:tmpl w:val="05026F3E"/>
    <w:lvl w:ilvl="0" w:tplc="0410000F">
      <w:start w:val="1"/>
      <w:numFmt w:val="decimal"/>
      <w:lvlText w:val="%1."/>
      <w:lvlJc w:val="left"/>
      <w:pPr>
        <w:ind w:left="1184" w:hanging="360"/>
      </w:pPr>
    </w:lvl>
    <w:lvl w:ilvl="1" w:tplc="04100019" w:tentative="1">
      <w:start w:val="1"/>
      <w:numFmt w:val="lowerLetter"/>
      <w:lvlText w:val="%2."/>
      <w:lvlJc w:val="left"/>
      <w:pPr>
        <w:ind w:left="1904" w:hanging="360"/>
      </w:pPr>
    </w:lvl>
    <w:lvl w:ilvl="2" w:tplc="0410001B" w:tentative="1">
      <w:start w:val="1"/>
      <w:numFmt w:val="lowerRoman"/>
      <w:lvlText w:val="%3."/>
      <w:lvlJc w:val="right"/>
      <w:pPr>
        <w:ind w:left="2624" w:hanging="180"/>
      </w:pPr>
    </w:lvl>
    <w:lvl w:ilvl="3" w:tplc="0410000F" w:tentative="1">
      <w:start w:val="1"/>
      <w:numFmt w:val="decimal"/>
      <w:lvlText w:val="%4."/>
      <w:lvlJc w:val="left"/>
      <w:pPr>
        <w:ind w:left="3344" w:hanging="360"/>
      </w:pPr>
    </w:lvl>
    <w:lvl w:ilvl="4" w:tplc="04100019" w:tentative="1">
      <w:start w:val="1"/>
      <w:numFmt w:val="lowerLetter"/>
      <w:lvlText w:val="%5."/>
      <w:lvlJc w:val="left"/>
      <w:pPr>
        <w:ind w:left="4064" w:hanging="360"/>
      </w:pPr>
    </w:lvl>
    <w:lvl w:ilvl="5" w:tplc="0410001B" w:tentative="1">
      <w:start w:val="1"/>
      <w:numFmt w:val="lowerRoman"/>
      <w:lvlText w:val="%6."/>
      <w:lvlJc w:val="right"/>
      <w:pPr>
        <w:ind w:left="4784" w:hanging="180"/>
      </w:pPr>
    </w:lvl>
    <w:lvl w:ilvl="6" w:tplc="0410000F" w:tentative="1">
      <w:start w:val="1"/>
      <w:numFmt w:val="decimal"/>
      <w:lvlText w:val="%7."/>
      <w:lvlJc w:val="left"/>
      <w:pPr>
        <w:ind w:left="5504" w:hanging="360"/>
      </w:pPr>
    </w:lvl>
    <w:lvl w:ilvl="7" w:tplc="04100019" w:tentative="1">
      <w:start w:val="1"/>
      <w:numFmt w:val="lowerLetter"/>
      <w:lvlText w:val="%8."/>
      <w:lvlJc w:val="left"/>
      <w:pPr>
        <w:ind w:left="6224" w:hanging="360"/>
      </w:pPr>
    </w:lvl>
    <w:lvl w:ilvl="8" w:tplc="0410001B" w:tentative="1">
      <w:start w:val="1"/>
      <w:numFmt w:val="lowerRoman"/>
      <w:lvlText w:val="%9."/>
      <w:lvlJc w:val="right"/>
      <w:pPr>
        <w:ind w:left="694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AEC"/>
    <w:rsid w:val="0005384B"/>
    <w:rsid w:val="00075141"/>
    <w:rsid w:val="00090AF1"/>
    <w:rsid w:val="00097EA6"/>
    <w:rsid w:val="000C6CD1"/>
    <w:rsid w:val="000C6D7B"/>
    <w:rsid w:val="000D0155"/>
    <w:rsid w:val="000E35A1"/>
    <w:rsid w:val="001015E2"/>
    <w:rsid w:val="0010792F"/>
    <w:rsid w:val="00144DE0"/>
    <w:rsid w:val="001546E6"/>
    <w:rsid w:val="00154DE9"/>
    <w:rsid w:val="00155BFE"/>
    <w:rsid w:val="001674AF"/>
    <w:rsid w:val="00192250"/>
    <w:rsid w:val="001A6BEF"/>
    <w:rsid w:val="001B00E7"/>
    <w:rsid w:val="001E5364"/>
    <w:rsid w:val="001F1DE7"/>
    <w:rsid w:val="001F3815"/>
    <w:rsid w:val="0020130D"/>
    <w:rsid w:val="0020147B"/>
    <w:rsid w:val="0020326C"/>
    <w:rsid w:val="002107E5"/>
    <w:rsid w:val="002569B0"/>
    <w:rsid w:val="00277A98"/>
    <w:rsid w:val="0028774C"/>
    <w:rsid w:val="002F6DDA"/>
    <w:rsid w:val="003477A9"/>
    <w:rsid w:val="00350305"/>
    <w:rsid w:val="00393584"/>
    <w:rsid w:val="003A6EEF"/>
    <w:rsid w:val="003B3D11"/>
    <w:rsid w:val="003F497E"/>
    <w:rsid w:val="003F5CE8"/>
    <w:rsid w:val="0041745D"/>
    <w:rsid w:val="00432304"/>
    <w:rsid w:val="00450C6D"/>
    <w:rsid w:val="00462097"/>
    <w:rsid w:val="004A3C1C"/>
    <w:rsid w:val="004C553C"/>
    <w:rsid w:val="004E3FDE"/>
    <w:rsid w:val="0052040E"/>
    <w:rsid w:val="005271E1"/>
    <w:rsid w:val="00546DB1"/>
    <w:rsid w:val="00553104"/>
    <w:rsid w:val="0056031D"/>
    <w:rsid w:val="005A0999"/>
    <w:rsid w:val="005A168A"/>
    <w:rsid w:val="005B0A3B"/>
    <w:rsid w:val="005B0ED1"/>
    <w:rsid w:val="006058AC"/>
    <w:rsid w:val="0060595A"/>
    <w:rsid w:val="00615AE8"/>
    <w:rsid w:val="00620235"/>
    <w:rsid w:val="006B5380"/>
    <w:rsid w:val="006B5C15"/>
    <w:rsid w:val="006B6490"/>
    <w:rsid w:val="006D1787"/>
    <w:rsid w:val="007034CD"/>
    <w:rsid w:val="00755E53"/>
    <w:rsid w:val="007611BC"/>
    <w:rsid w:val="00761236"/>
    <w:rsid w:val="00797071"/>
    <w:rsid w:val="007C2A40"/>
    <w:rsid w:val="007D3561"/>
    <w:rsid w:val="007F554F"/>
    <w:rsid w:val="007F6D61"/>
    <w:rsid w:val="008133B7"/>
    <w:rsid w:val="00820582"/>
    <w:rsid w:val="0082779E"/>
    <w:rsid w:val="00855E4D"/>
    <w:rsid w:val="00860379"/>
    <w:rsid w:val="00885411"/>
    <w:rsid w:val="008879C1"/>
    <w:rsid w:val="00895C7D"/>
    <w:rsid w:val="008B317E"/>
    <w:rsid w:val="008E531E"/>
    <w:rsid w:val="008F6A89"/>
    <w:rsid w:val="00903321"/>
    <w:rsid w:val="00956152"/>
    <w:rsid w:val="009A6D1A"/>
    <w:rsid w:val="009D7CA8"/>
    <w:rsid w:val="009E67EC"/>
    <w:rsid w:val="00A047B1"/>
    <w:rsid w:val="00A806B6"/>
    <w:rsid w:val="00A80BD3"/>
    <w:rsid w:val="00AA4679"/>
    <w:rsid w:val="00AB1A7B"/>
    <w:rsid w:val="00AC1EB0"/>
    <w:rsid w:val="00B16380"/>
    <w:rsid w:val="00B20AD0"/>
    <w:rsid w:val="00B36FAE"/>
    <w:rsid w:val="00B80A8C"/>
    <w:rsid w:val="00B95BEE"/>
    <w:rsid w:val="00BA491D"/>
    <w:rsid w:val="00BC646E"/>
    <w:rsid w:val="00C044F5"/>
    <w:rsid w:val="00C0526A"/>
    <w:rsid w:val="00C5376B"/>
    <w:rsid w:val="00CE1ED5"/>
    <w:rsid w:val="00D02F4B"/>
    <w:rsid w:val="00D03ABC"/>
    <w:rsid w:val="00D14701"/>
    <w:rsid w:val="00D1648D"/>
    <w:rsid w:val="00D261E4"/>
    <w:rsid w:val="00D32B95"/>
    <w:rsid w:val="00DB3E90"/>
    <w:rsid w:val="00DE41B5"/>
    <w:rsid w:val="00DE4E19"/>
    <w:rsid w:val="00DF1873"/>
    <w:rsid w:val="00E17656"/>
    <w:rsid w:val="00E24E61"/>
    <w:rsid w:val="00E31AEC"/>
    <w:rsid w:val="00E812BE"/>
    <w:rsid w:val="00ED65A6"/>
    <w:rsid w:val="00EE1DBE"/>
    <w:rsid w:val="00EE50B0"/>
    <w:rsid w:val="00EF036C"/>
    <w:rsid w:val="00EF6B89"/>
    <w:rsid w:val="00F13F87"/>
    <w:rsid w:val="00F163B5"/>
    <w:rsid w:val="00F61EAC"/>
    <w:rsid w:val="00F879AF"/>
    <w:rsid w:val="00F93B70"/>
    <w:rsid w:val="00FA2AA7"/>
    <w:rsid w:val="00FA7735"/>
    <w:rsid w:val="00FC3CC7"/>
    <w:rsid w:val="00FF548E"/>
    <w:rsid w:val="00FF7A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847AD5E6-5B85-4DA8-AF05-939D669D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31AEC"/>
    <w:pPr>
      <w:spacing w:before="240" w:after="240" w:line="360" w:lineRule="auto"/>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E31AEC"/>
    <w:pPr>
      <w:tabs>
        <w:tab w:val="center" w:pos="4819"/>
        <w:tab w:val="right" w:pos="9638"/>
      </w:tabs>
      <w:spacing w:before="0" w:after="0" w:line="240" w:lineRule="auto"/>
      <w:jc w:val="left"/>
    </w:pPr>
  </w:style>
  <w:style w:type="character" w:customStyle="1" w:styleId="PidipaginaCarattere">
    <w:name w:val="Piè di pagina Carattere"/>
    <w:basedOn w:val="Carpredefinitoparagrafo"/>
    <w:link w:val="Pidipagina"/>
    <w:uiPriority w:val="99"/>
    <w:rsid w:val="00E31AEC"/>
  </w:style>
  <w:style w:type="paragraph" w:styleId="Paragrafoelenco">
    <w:name w:val="List Paragraph"/>
    <w:basedOn w:val="Normale"/>
    <w:uiPriority w:val="34"/>
    <w:qFormat/>
    <w:rsid w:val="00E31AEC"/>
    <w:pPr>
      <w:ind w:left="720"/>
      <w:contextualSpacing/>
    </w:pPr>
  </w:style>
  <w:style w:type="paragraph" w:styleId="Intestazione">
    <w:name w:val="header"/>
    <w:basedOn w:val="Normale"/>
    <w:link w:val="IntestazioneCarattere"/>
    <w:uiPriority w:val="99"/>
    <w:unhideWhenUsed/>
    <w:rsid w:val="002569B0"/>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256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E9058-AF4F-45D8-945D-E7DAE795D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1453</Words>
  <Characters>8283</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Prudente Valentina</dc:creator>
  <cp:keywords/>
  <dc:description/>
  <cp:lastModifiedBy>Croppi Simona</cp:lastModifiedBy>
  <cp:revision>2</cp:revision>
  <dcterms:created xsi:type="dcterms:W3CDTF">2015-10-21T07:05:00Z</dcterms:created>
  <dcterms:modified xsi:type="dcterms:W3CDTF">2015-10-21T07:05:00Z</dcterms:modified>
</cp:coreProperties>
</file>