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92" w:rsidRPr="005E499E" w:rsidRDefault="00065E92" w:rsidP="00FE60C8">
      <w:pPr>
        <w:spacing w:after="0" w:line="360" w:lineRule="auto"/>
        <w:ind w:left="180" w:right="98" w:firstLine="540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</w:p>
    <w:p w:rsidR="00FE60C8" w:rsidRPr="005E499E" w:rsidRDefault="00034474" w:rsidP="00FE60C8">
      <w:pPr>
        <w:spacing w:after="0" w:line="360" w:lineRule="auto"/>
        <w:ind w:left="180" w:right="98" w:firstLine="540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997101">
        <w:rPr>
          <w:rFonts w:ascii="Bodoni MT" w:eastAsia="Times New Roman" w:hAnsi="Bodoni MT" w:cs="Times New Roman"/>
          <w:sz w:val="24"/>
          <w:szCs w:val="24"/>
          <w:lang w:eastAsia="it-IT"/>
        </w:rPr>
        <w:t>75</w:t>
      </w:r>
      <w:r w:rsidR="0090009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/2015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/PAR</w:t>
      </w:r>
    </w:p>
    <w:p w:rsidR="00FE60C8" w:rsidRPr="005E499E" w:rsidRDefault="00FE60C8" w:rsidP="00FE60C8">
      <w:pPr>
        <w:spacing w:after="0" w:line="360" w:lineRule="auto"/>
        <w:ind w:left="180" w:right="98" w:firstLine="540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4pt;height:72.6pt" o:ole="">
            <v:imagedata r:id="rId9" o:title=""/>
          </v:shape>
          <o:OLEObject Type="Embed" ProgID="Word.Picture.8" ShapeID="_x0000_i1025" DrawAspect="Content" ObjectID="_1491824193" r:id="rId10"/>
        </w:object>
      </w:r>
    </w:p>
    <w:p w:rsidR="00FE60C8" w:rsidRPr="005E499E" w:rsidRDefault="00FE60C8" w:rsidP="00FE60C8">
      <w:pPr>
        <w:spacing w:after="0" w:line="360" w:lineRule="auto"/>
        <w:ind w:left="180" w:right="96" w:firstLine="539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FE60C8" w:rsidRPr="005E499E" w:rsidRDefault="00E5699B" w:rsidP="00E5699B">
      <w:pPr>
        <w:spacing w:after="0" w:line="360" w:lineRule="auto"/>
        <w:ind w:left="3000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composta dai magistrati</w:t>
      </w:r>
    </w:p>
    <w:p w:rsidR="00E5699B" w:rsidRPr="005E499E" w:rsidRDefault="00E5699B" w:rsidP="00E5699B">
      <w:pPr>
        <w:spacing w:after="0" w:line="360" w:lineRule="auto"/>
        <w:ind w:left="3000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83121E" w:rsidRPr="005E499E" w:rsidRDefault="00FE60C8" w:rsidP="001A15CA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Maria A</w:t>
      </w:r>
      <w:r w:rsidR="00E5699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nnunziata RUCIRETA</w:t>
      </w:r>
      <w:r w:rsidR="00E5699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5699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5699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  <w:t>presidente f.f.</w:t>
      </w:r>
    </w:p>
    <w:p w:rsidR="00D86E32" w:rsidRPr="005E499E" w:rsidRDefault="00D86E32" w:rsidP="001A15CA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Paolo PELUFFO                                               </w:t>
      </w:r>
      <w:r w:rsid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A37172" w:rsidRPr="005E499E" w:rsidRDefault="00A37172" w:rsidP="001A15CA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Nicola BONTEMPO                                      </w:t>
      </w:r>
      <w:r w:rsidR="00D86E3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</w:t>
      </w:r>
      <w:r w:rsid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D86E3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FE60C8" w:rsidRPr="005E499E" w:rsidRDefault="00FE60C8" w:rsidP="001A15CA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  <w:r w:rsidR="0003447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E2205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3447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relatore</w:t>
      </w:r>
    </w:p>
    <w:p w:rsidR="00D86E32" w:rsidRPr="005E499E" w:rsidRDefault="00D86E32" w:rsidP="001A15CA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Laura D’AMBROSIO                                       </w:t>
      </w:r>
      <w:r w:rsid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consigliere    </w:t>
      </w:r>
    </w:p>
    <w:p w:rsidR="00FE60C8" w:rsidRPr="005E499E" w:rsidRDefault="00FE60C8" w:rsidP="00FE60C8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FE60C8" w:rsidRPr="005E499E" w:rsidRDefault="00FE60C8" w:rsidP="00FE60C8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5E499E" w:rsidRDefault="001D3D4F" w:rsidP="00FE60C8">
      <w:pPr>
        <w:spacing w:after="0" w:line="360" w:lineRule="auto"/>
        <w:ind w:left="180" w:right="98" w:firstLine="52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nell’adunanza del</w:t>
      </w:r>
      <w:r w:rsid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28 aprile </w:t>
      </w:r>
      <w:r w:rsidR="0090009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2015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FE60C8" w:rsidRPr="005E499E" w:rsidRDefault="00FE60C8" w:rsidP="00FE60C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secondo comma, della Costituzione;</w:t>
      </w:r>
    </w:p>
    <w:p w:rsidR="00FE60C8" w:rsidRPr="005E499E" w:rsidRDefault="00FE60C8" w:rsidP="00FE60C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VISTO il Testo unico delle leggi sulla Corte dei conti, approvato con r.d. 12 luglio 1934, n. 1214, e successive modificazioni;</w:t>
      </w:r>
    </w:p>
    <w:p w:rsidR="00FE60C8" w:rsidRPr="005E499E" w:rsidRDefault="00FE60C8" w:rsidP="00FE60C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VISTA la legge 14 gennaio 1994, n. 20, recante disposizioni in materia di giurisdizione e controllo della Corte dei conti;</w:t>
      </w:r>
    </w:p>
    <w:p w:rsidR="00FE60C8" w:rsidRPr="005E499E" w:rsidRDefault="00FE60C8" w:rsidP="00FE60C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VISTA la legge 5 giugno 2003 n. 131, recante disposizioni per l’adeguamento dell’ordinamento della Repubblica alla legge costituzionale 18 ottobre 2001, n. 3;</w:t>
      </w:r>
    </w:p>
    <w:p w:rsidR="00FE60C8" w:rsidRPr="005E499E" w:rsidRDefault="00FE60C8" w:rsidP="00FE60C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VISTO il Regolamento n.</w:t>
      </w:r>
      <w:r w:rsidR="001B1CE3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14/2000 per l’organizzazione delle funzioni di controllo della Corte dei conti, deliberato dalle Sezioni riunite della Corte dei conti in data 16 giugno 2000 e successive modifiche;</w:t>
      </w:r>
    </w:p>
    <w:p w:rsidR="00FE60C8" w:rsidRPr="005E499E" w:rsidRDefault="00FE60C8" w:rsidP="00FE60C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VISTA la Convenzione stipulata il 16 giugno 2006 tra Sezione regionale, Consiglio delle autonomie locali e Giunta regionale Toscana in materia di “ulteriori forme di collaborazione” tra Corte ed autonomie, ai sensi dell’art. 7, comma 8, della citata legge n. 131 del 2003;</w:t>
      </w:r>
    </w:p>
    <w:p w:rsidR="00FE60C8" w:rsidRPr="005E499E" w:rsidRDefault="00034474" w:rsidP="00FE60C8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UDITO il rela</w:t>
      </w:r>
      <w:r w:rsidR="002819A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tore, cons. Emilia Trisciuoglio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FE60C8" w:rsidRPr="005E499E" w:rsidRDefault="00FE60C8" w:rsidP="007E0AC5">
      <w:pPr>
        <w:spacing w:before="120" w:after="120" w:line="360" w:lineRule="auto"/>
        <w:ind w:left="181" w:right="96" w:firstLine="539"/>
        <w:jc w:val="center"/>
        <w:rPr>
          <w:rFonts w:ascii="Bodoni MT" w:eastAsia="Times New Roman" w:hAnsi="Bodoni MT" w:cs="Times New Roman"/>
          <w:sz w:val="24"/>
          <w:szCs w:val="24"/>
          <w:lang w:eastAsia="it-IT" w:bidi="he-IL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 w:bidi="he-IL"/>
        </w:rPr>
        <w:t>PREMESSO</w:t>
      </w:r>
    </w:p>
    <w:p w:rsidR="00FE60C8" w:rsidRPr="005E499E" w:rsidRDefault="00997101" w:rsidP="00FE60C8">
      <w:pPr>
        <w:tabs>
          <w:tab w:val="left" w:pos="0"/>
        </w:tabs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1 - Il Consiglio delle autonomie locali ha inoltrato alla Sezione, con nota prot. n. 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81501</w:t>
      </w:r>
      <w:r w:rsidR="004436F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/</w:t>
      </w:r>
      <w:r w:rsidR="0003447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1.13.9</w:t>
      </w:r>
      <w:r w:rsidR="00C20FA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94499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A734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 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1 aprile 2015</w:t>
      </w:r>
      <w:r w:rsidR="00E31F3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2819A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pervenuta il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10 aprile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201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5</w:t>
      </w:r>
      <w:r w:rsidR="00D86E3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 una</w:t>
      </w:r>
      <w:r w:rsidR="0003447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richiesta di parere de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 Sindaco del Comune di</w:t>
      </w:r>
      <w:r w:rsidR="00BA734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Anghiari, il quale</w:t>
      </w:r>
      <w:r w:rsidR="001A448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A734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dopo aver premesso che</w:t>
      </w:r>
      <w:r w:rsidR="001A448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la Corte di Cassazione</w:t>
      </w:r>
      <w:r w:rsidR="00BA734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 con sentenza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n. 18669</w:t>
      </w:r>
      <w:r w:rsidR="001A448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A734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del 4/9/2014,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A448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ha respinto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il </w:t>
      </w:r>
      <w:r w:rsidR="00D5763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ricorso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A448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per il riconoscimento dell’indennità di p.s. ad un addetto della polizia municipale</w:t>
      </w:r>
      <w:r w:rsidR="001D3D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A734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chiede, anche per evitare un danno erariale, se la richiamata sentenza</w:t>
      </w:r>
      <w:r w:rsidR="00D5763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possa rivestire il carattere della generalità o sia limitata al caso previsto in sentenza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</w:p>
    <w:p w:rsidR="00FE60C8" w:rsidRPr="005E499E" w:rsidRDefault="00FE60C8" w:rsidP="00FE60C8">
      <w:pPr>
        <w:spacing w:after="0" w:line="360" w:lineRule="auto"/>
        <w:ind w:right="98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Default="00FE60C8" w:rsidP="00FE60C8">
      <w:pPr>
        <w:spacing w:after="0" w:line="360" w:lineRule="auto"/>
        <w:ind w:right="98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183505" w:rsidRPr="005E499E" w:rsidRDefault="00183505" w:rsidP="00FE60C8">
      <w:pPr>
        <w:spacing w:after="0" w:line="360" w:lineRule="auto"/>
        <w:ind w:right="98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5E499E" w:rsidRDefault="00C20FA4" w:rsidP="00997101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2 - 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La richiesta di parere è ammissibile sotto il profilo soggettivo, in quanto formulata dal Sindaco del Comune interessato, per il tramite del Consiglio delle autonomie.</w:t>
      </w:r>
    </w:p>
    <w:p w:rsidR="00FC05A7" w:rsidRPr="005E499E" w:rsidRDefault="00111329" w:rsidP="007E0AC5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Sotto il profilo dell’ammissibilità oggettiva, va osser</w:t>
      </w:r>
      <w:r w:rsidR="00D1679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vato che l’attività consultiva 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delle sezioni regional</w:t>
      </w:r>
      <w:r w:rsidR="002819A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 di controllo della Corte dei c</w:t>
      </w:r>
      <w:r w:rsidR="00697821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onti di cui all’art.</w:t>
      </w:r>
      <w:r w:rsidR="002819A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697821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7, comma 8, 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l.</w:t>
      </w:r>
      <w:r w:rsidR="002819A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n.</w:t>
      </w:r>
      <w:r w:rsidR="002819A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131/2003,</w:t>
      </w:r>
      <w:r w:rsidR="00BD1B4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</w:t>
      </w:r>
      <w:r w:rsidR="0021560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ome evidenziato dalle Sezioni r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iunite di questa Corte, con pronunzia resa in sede di nomofilac</w:t>
      </w:r>
      <w:r w:rsidR="00821ED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hia contabile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(del. n. </w:t>
      </w:r>
      <w:r w:rsidR="001A15C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54/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2010)</w:t>
      </w:r>
      <w:r w:rsidR="00E2205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2819A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 conferma</w:t>
      </w:r>
      <w:r w:rsidR="00BD1B4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7D6C9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dell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’orientamento già assunto dalla Sezione </w:t>
      </w:r>
      <w:r w:rsidR="0021560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 w:rsidR="001A15C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utonomie (del. n. 5 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/</w:t>
      </w:r>
      <w:r w:rsidR="00E2205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2006),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si svolg</w:t>
      </w:r>
      <w:r w:rsidR="00094499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e ,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già in un ambito di consulenza di por</w:t>
      </w:r>
      <w:r w:rsidR="00697821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tata generale,</w:t>
      </w:r>
      <w:r w:rsidR="00094499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ma in relazione alla sola materia della “contabilità pubblica”, che</w:t>
      </w:r>
      <w:r w:rsidR="00E27A5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94499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</w:t>
      </w:r>
      <w:r w:rsidR="00697821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pure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intesa</w:t>
      </w:r>
      <w:r w:rsidR="00612B8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</w:t>
      </w:r>
      <w:r w:rsidR="002631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senso dinamico</w:t>
      </w:r>
      <w:r w:rsidR="00E27A5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</w:t>
      </w:r>
      <w:r w:rsidR="0017102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ri</w:t>
      </w:r>
      <w:r w:rsidR="0089607C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conducibile </w:t>
      </w:r>
      <w:r w:rsidR="00612B8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anche alle modalità di u</w:t>
      </w:r>
      <w:r w:rsidR="002819A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tilizzo delle risorse pubbliche</w:t>
      </w:r>
      <w:r w:rsidR="005D1806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612B8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alla sana gestione e agli equilibri di bilancio</w:t>
      </w:r>
      <w:r w:rsidR="002631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0279EC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comprende</w:t>
      </w:r>
      <w:r w:rsidR="00697821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“</w:t>
      </w:r>
      <w:r w:rsidR="0017102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qualsivoglia attività</w:t>
      </w:r>
      <w:r w:rsidR="00BD1B4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degli Enti che abbia</w:t>
      </w:r>
      <w:r w:rsidR="00697821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 comunque</w:t>
      </w:r>
      <w:r w:rsidR="0017102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D1B4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7102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riflessi di natura finanziaria</w:t>
      </w:r>
      <w:r w:rsidR="00821ED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“</w:t>
      </w:r>
      <w:r w:rsidR="00612B8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. La nozione di contabilità pubblica</w:t>
      </w:r>
      <w:r w:rsidR="00821ED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deve assumere</w:t>
      </w:r>
      <w:r w:rsidR="00612B8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 pertanto,</w:t>
      </w:r>
      <w:r w:rsidR="00E2205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“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un ambito limitato alle normative e ai relati</w:t>
      </w:r>
      <w:r w:rsidR="000279EC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vi atti applicativi che disciplinano in generale l’attività finanziaria che precede o che segue i distinti interventi di settore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ricomprendendo in particolare la disciplina dei bilanci ed i relativi equilibri, l’acquisizione delle entrate, l’organizzazione finanziaria-contabile, la disciplina del patrimonio, la gestione della spesa, l’indebitamento, la 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rendicontazione ed i relativi controlli”</w:t>
      </w:r>
      <w:r w:rsidR="000279EC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 nel quadro degli</w:t>
      </w:r>
      <w:r w:rsidR="00612B8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obiettivi di contenimento della spesa sanciti dai principi di coordi</w:t>
      </w:r>
      <w:r w:rsidR="00B41B0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namento della finanza pubblica.</w:t>
      </w:r>
    </w:p>
    <w:p w:rsidR="00BD1B4B" w:rsidRPr="005E499E" w:rsidRDefault="00633FE2" w:rsidP="007E0AC5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L’</w:t>
      </w:r>
      <w:r w:rsidR="00B41B0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attività consultiva della Corte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B41B0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="00612B8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noltre, 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deve riguardare </w:t>
      </w:r>
      <w:r w:rsidR="00B41B0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questioni di rilevanza generale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da valutare in </w:t>
      </w:r>
      <w:r w:rsidR="005D1806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astratto;</w:t>
      </w:r>
      <w:r w:rsidR="000279EC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per non contrastare con la propria posizione di terzietà e indipendenza,</w:t>
      </w:r>
      <w:r w:rsidR="00B41B0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deve avere ad oggetto concreti atti di gestione dell’ente, né</w:t>
      </w:r>
      <w:r w:rsidR="00E8374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tantomeno</w:t>
      </w:r>
      <w:r w:rsidR="00B41B0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implicare valutazioni su comportamenti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E8374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o atti</w:t>
      </w:r>
      <w:r w:rsidR="004B21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E27A5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 che posso</w:t>
      </w:r>
      <w:r w:rsidR="000279EC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no prefigurare</w:t>
      </w:r>
      <w:r w:rsidR="00B41B0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un’</w:t>
      </w:r>
      <w:r w:rsidR="0052218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ingerenza</w:t>
      </w:r>
      <w:r w:rsidR="00E8374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 compartecipazione</w:t>
      </w:r>
      <w:r w:rsidR="0052218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Corte</w:t>
      </w:r>
      <w:r w:rsidR="00E8374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nella concreta attività amministrativa dell’ente</w:t>
      </w:r>
      <w:r w:rsidR="004B21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o che possono condurre ad</w:t>
      </w:r>
      <w:r w:rsidR="00FC05A7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interferenza</w:t>
      </w:r>
      <w:r w:rsidR="00612B8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 </w:t>
      </w:r>
      <w:r w:rsidR="0052218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le funzioni giurisdizi</w:t>
      </w:r>
      <w:r w:rsidR="001A15C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onali intestate alla Corte dei c</w:t>
      </w:r>
      <w:r w:rsidR="0052218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onti o ad altre magistrature.</w:t>
      </w:r>
    </w:p>
    <w:p w:rsidR="00291234" w:rsidRDefault="00291234" w:rsidP="00997101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A855B3" w:rsidRPr="005E499E" w:rsidRDefault="00C20FA4" w:rsidP="00997101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3 - </w:t>
      </w:r>
      <w:r w:rsidR="00895D9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="0052218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 quesi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to, come prospettato,</w:t>
      </w:r>
      <w:r w:rsidR="001C5EC6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 i motivi soprarichiamati,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è</w:t>
      </w:r>
      <w:r w:rsidR="0052218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inammissibile</w:t>
      </w:r>
      <w:r w:rsidR="001A15C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dal punto di vista oggettivo</w:t>
      </w:r>
      <w:r w:rsidR="001134B4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perché</w:t>
      </w:r>
      <w:r w:rsidR="004B214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non concerne la materia della contabilità pubbli</w:t>
      </w:r>
      <w:r w:rsidR="001C5EC6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ca bensì</w:t>
      </w:r>
      <w:r w:rsidR="00742093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la portata giuridica</w:t>
      </w:r>
      <w:r w:rsidR="00B564B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delle sentenze della Corte s</w:t>
      </w:r>
      <w:r w:rsidR="001C5EC6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uprema</w:t>
      </w:r>
      <w:r w:rsidR="00742093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 le cui attribuzioni, come ben noto,</w:t>
      </w:r>
      <w:r w:rsidR="001C5EC6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nel quadro di un sistema giuridico improntato al modello del civil law,</w:t>
      </w:r>
      <w:r w:rsidR="00742093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sono fissate nell’art.65 R.D.</w:t>
      </w:r>
      <w:r w:rsidR="00B564B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1C5EC6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30/1/1941 n.12</w:t>
      </w:r>
      <w:r w:rsidR="00B564B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. I</w:t>
      </w:r>
      <w:r w:rsidR="00A3717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noltre, la funzione consultiva non può avere ad oggetto specifici atti che potrebbero essere sottoposti alla valutazione di altri organi giurisdizionali nell’esercizio di funzioni diverse</w:t>
      </w:r>
      <w:r w:rsidR="001C5EC6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F86549" w:rsidRPr="005E499E">
        <w:rPr>
          <w:rFonts w:ascii="Bodoni MT" w:hAnsi="Bodoni MT"/>
          <w:sz w:val="24"/>
          <w:szCs w:val="24"/>
          <w:lang w:eastAsia="it-IT"/>
        </w:rPr>
        <w:t xml:space="preserve"> </w:t>
      </w:r>
    </w:p>
    <w:p w:rsidR="00DD0B8F" w:rsidRPr="005E499E" w:rsidRDefault="00DD0B8F" w:rsidP="00A05A8E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Default="00FE60C8" w:rsidP="00CF1E34">
      <w:pPr>
        <w:spacing w:before="120" w:after="120" w:line="360" w:lineRule="auto"/>
        <w:ind w:firstLine="709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***</w:t>
      </w:r>
    </w:p>
    <w:p w:rsidR="005E499E" w:rsidRPr="005E499E" w:rsidRDefault="005E499E" w:rsidP="00CF1E34">
      <w:pPr>
        <w:spacing w:before="120" w:after="120" w:line="360" w:lineRule="auto"/>
        <w:ind w:firstLine="709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2B5E7B" w:rsidRPr="005E499E" w:rsidRDefault="002B5E7B" w:rsidP="002B5E7B">
      <w:pPr>
        <w:spacing w:after="0" w:line="360" w:lineRule="auto"/>
        <w:ind w:left="180" w:right="98" w:firstLine="540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Nelle sopra esposte considerazioni è</w:t>
      </w:r>
      <w:r w:rsidR="0037408D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il deliberato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Corte dei conti – Sezione regiona</w:t>
      </w:r>
      <w:r w:rsidR="00682587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le di controllo per la Toscana,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in relazione alla richiesta form</w:t>
      </w:r>
      <w:r w:rsidR="00742093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ulata dal Sindaco del Comune di Anghiar</w:t>
      </w:r>
      <w:r w:rsidR="00A05A8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, trasmessa per il tramite del Consiglio delle aut</w:t>
      </w:r>
      <w:r w:rsidR="00DD0B8F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onomie con nota prot. n</w:t>
      </w:r>
      <w:r w:rsidR="00BE051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A3717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8150/1</w:t>
      </w:r>
      <w:r w:rsidR="004164E3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.13.9 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del</w:t>
      </w:r>
      <w:r w:rsidR="00742093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 aprile 2015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5E499E" w:rsidRDefault="005E499E">
      <w:pPr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br w:type="page"/>
      </w:r>
    </w:p>
    <w:p w:rsidR="002B5E7B" w:rsidRPr="005E499E" w:rsidRDefault="002B5E7B" w:rsidP="002B5E7B">
      <w:pPr>
        <w:spacing w:after="0" w:line="360" w:lineRule="auto"/>
        <w:ind w:left="180" w:right="98" w:firstLine="540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Copi</w:t>
      </w:r>
      <w:r w:rsidR="000C542A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a della presente deliberazione verrà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trasmessa al Presidente del Consiglio delle autonomie locali della Re</w:t>
      </w:r>
      <w:r w:rsidR="00682587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gione Toscana e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al Sindaco</w:t>
      </w:r>
      <w:r w:rsidR="00682587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</w:t>
      </w:r>
      <w:r w:rsidR="00A37172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l Comune di Anghiari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2B5E7B" w:rsidRPr="005E499E" w:rsidRDefault="002B5E7B" w:rsidP="002B5E7B">
      <w:pPr>
        <w:spacing w:after="0" w:line="360" w:lineRule="auto"/>
        <w:ind w:left="180" w:right="98" w:firstLine="540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5E499E" w:rsidRDefault="007E0AC5" w:rsidP="002B5E7B">
      <w:pPr>
        <w:spacing w:after="0" w:line="360" w:lineRule="auto"/>
        <w:ind w:left="180" w:right="98" w:firstLine="540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Firenze,</w:t>
      </w:r>
      <w:r w:rsidR="00A05A8E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5E499E">
        <w:rPr>
          <w:rFonts w:ascii="Bodoni MT" w:eastAsia="Times New Roman" w:hAnsi="Bodoni MT" w:cs="Times New Roman"/>
          <w:sz w:val="24"/>
          <w:szCs w:val="24"/>
          <w:lang w:eastAsia="it-IT"/>
        </w:rPr>
        <w:t>28 aprile 2015</w:t>
      </w:r>
    </w:p>
    <w:p w:rsidR="002B5E7B" w:rsidRPr="005E499E" w:rsidRDefault="002B5E7B" w:rsidP="00FE60C8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5E499E" w:rsidRDefault="00E5699B" w:rsidP="007E0AC5">
      <w:pPr>
        <w:spacing w:after="0" w:line="24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Il relatore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</w:t>
      </w:r>
      <w:r w:rsidR="007E0AC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Il presidente</w:t>
      </w: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f.f.</w:t>
      </w:r>
    </w:p>
    <w:p w:rsidR="00FE60C8" w:rsidRPr="005E499E" w:rsidRDefault="000C542A" w:rsidP="007E0AC5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</w:t>
      </w:r>
      <w:r w:rsidR="007C1A0A"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7E0AC5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D1B4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Emilia T</w:t>
      </w:r>
      <w:r w:rsidR="00821ED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risciuoglio</w:t>
      </w:r>
      <w:r w:rsidR="002B5E7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5699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5699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E5699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7C1A0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E5699B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</w:p>
    <w:p w:rsidR="00FE60C8" w:rsidRPr="005E499E" w:rsidRDefault="00FE60C8" w:rsidP="007E0AC5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7E0AC5" w:rsidRPr="005E499E" w:rsidRDefault="007E0AC5" w:rsidP="007E0AC5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5E499E" w:rsidRDefault="00FE60C8" w:rsidP="007E0AC5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FE60C8" w:rsidRPr="005E499E" w:rsidRDefault="00CF1E34" w:rsidP="00FE60C8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Deposi</w:t>
      </w:r>
      <w:r w:rsidR="00682587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tata in Segreteria il </w:t>
      </w:r>
      <w:r w:rsidR="00CE2C5F">
        <w:rPr>
          <w:rFonts w:ascii="Bodoni MT" w:eastAsia="Times New Roman" w:hAnsi="Bodoni MT" w:cs="Times New Roman"/>
          <w:sz w:val="24"/>
          <w:szCs w:val="24"/>
          <w:lang w:eastAsia="it-IT"/>
        </w:rPr>
        <w:t>29 aprile 2015</w:t>
      </w:r>
    </w:p>
    <w:p w:rsidR="00FE60C8" w:rsidRPr="005E499E" w:rsidRDefault="00FE60C8" w:rsidP="007E0AC5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Il funzionario preposto al Servizio di supporto</w:t>
      </w:r>
    </w:p>
    <w:p w:rsidR="00FE60C8" w:rsidRPr="005E499E" w:rsidRDefault="000E14BA" w:rsidP="007E0AC5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7C1A0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FE60C8" w:rsidRPr="005E499E">
        <w:rPr>
          <w:rFonts w:ascii="Bodoni MT" w:eastAsia="Times New Roman" w:hAnsi="Bodoni MT" w:cs="Times New Roman"/>
          <w:sz w:val="24"/>
          <w:szCs w:val="24"/>
          <w:lang w:eastAsia="it-IT"/>
        </w:rPr>
        <w:t>Claudio Felli</w:t>
      </w:r>
    </w:p>
    <w:p w:rsidR="0021555E" w:rsidRPr="005E499E" w:rsidRDefault="0021555E" w:rsidP="007E0AC5">
      <w:pPr>
        <w:spacing w:line="240" w:lineRule="auto"/>
        <w:rPr>
          <w:rFonts w:ascii="Bodoni MT" w:hAnsi="Bodoni MT"/>
          <w:sz w:val="24"/>
          <w:szCs w:val="24"/>
        </w:rPr>
      </w:pPr>
    </w:p>
    <w:sectPr w:rsidR="0021555E" w:rsidRPr="005E499E" w:rsidSect="00621B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1B" w:rsidRDefault="0003091B">
      <w:pPr>
        <w:spacing w:after="0" w:line="240" w:lineRule="auto"/>
      </w:pPr>
      <w:r>
        <w:separator/>
      </w:r>
    </w:p>
  </w:endnote>
  <w:endnote w:type="continuationSeparator" w:id="0">
    <w:p w:rsidR="0003091B" w:rsidRDefault="0003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4C6" w:rsidRPr="00F254BE" w:rsidRDefault="00F254BE" w:rsidP="00F254BE">
    <w:pPr>
      <w:pStyle w:val="Pidipagina"/>
      <w:tabs>
        <w:tab w:val="left" w:pos="4080"/>
        <w:tab w:val="center" w:pos="4252"/>
      </w:tabs>
      <w:rPr>
        <w:rFonts w:ascii="Bodoni MT" w:hAnsi="Bodoni MT"/>
        <w:sz w:val="20"/>
        <w:szCs w:val="20"/>
      </w:rPr>
    </w:pPr>
    <w:r w:rsidRPr="00F254BE">
      <w:rPr>
        <w:rFonts w:ascii="Bodoni MT" w:hAnsi="Bodoni MT"/>
        <w:sz w:val="20"/>
        <w:szCs w:val="20"/>
      </w:rPr>
      <w:tab/>
    </w:r>
    <w:r w:rsidRPr="00F254BE">
      <w:rPr>
        <w:rFonts w:ascii="Bodoni MT" w:hAnsi="Bodoni MT"/>
        <w:sz w:val="20"/>
        <w:szCs w:val="20"/>
      </w:rPr>
      <w:tab/>
    </w:r>
    <w:r w:rsidR="002B5E7B" w:rsidRPr="00F254BE">
      <w:rPr>
        <w:rFonts w:ascii="Bodoni MT" w:hAnsi="Bodoni MT"/>
        <w:sz w:val="20"/>
        <w:szCs w:val="20"/>
      </w:rPr>
      <w:fldChar w:fldCharType="begin"/>
    </w:r>
    <w:r w:rsidR="002B5E7B" w:rsidRPr="00F254BE">
      <w:rPr>
        <w:rFonts w:ascii="Bodoni MT" w:hAnsi="Bodoni MT"/>
        <w:sz w:val="20"/>
        <w:szCs w:val="20"/>
      </w:rPr>
      <w:instrText>PAGE   \* MERGEFORMAT</w:instrText>
    </w:r>
    <w:r w:rsidR="002B5E7B" w:rsidRPr="00F254BE">
      <w:rPr>
        <w:rFonts w:ascii="Bodoni MT" w:hAnsi="Bodoni MT"/>
        <w:sz w:val="20"/>
        <w:szCs w:val="20"/>
      </w:rPr>
      <w:fldChar w:fldCharType="separate"/>
    </w:r>
    <w:r w:rsidR="00160A73">
      <w:rPr>
        <w:rFonts w:ascii="Bodoni MT" w:hAnsi="Bodoni MT"/>
        <w:noProof/>
        <w:sz w:val="20"/>
        <w:szCs w:val="20"/>
      </w:rPr>
      <w:t>1</w:t>
    </w:r>
    <w:r w:rsidR="002B5E7B" w:rsidRPr="00F254BE">
      <w:rPr>
        <w:rFonts w:ascii="Bodoni MT" w:hAnsi="Bodoni MT"/>
        <w:sz w:val="20"/>
        <w:szCs w:val="20"/>
      </w:rPr>
      <w:fldChar w:fldCharType="end"/>
    </w:r>
  </w:p>
  <w:p w:rsidR="00FC34C6" w:rsidRDefault="0003091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1B" w:rsidRDefault="0003091B">
      <w:pPr>
        <w:spacing w:after="0" w:line="240" w:lineRule="auto"/>
      </w:pPr>
      <w:r>
        <w:separator/>
      </w:r>
    </w:p>
  </w:footnote>
  <w:footnote w:type="continuationSeparator" w:id="0">
    <w:p w:rsidR="0003091B" w:rsidRDefault="0003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3412"/>
    <w:multiLevelType w:val="hybridMultilevel"/>
    <w:tmpl w:val="6388C0CE"/>
    <w:lvl w:ilvl="0" w:tplc="D554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25"/>
    <w:rsid w:val="00002B9F"/>
    <w:rsid w:val="00004152"/>
    <w:rsid w:val="00014457"/>
    <w:rsid w:val="00025B16"/>
    <w:rsid w:val="000279EC"/>
    <w:rsid w:val="0003091B"/>
    <w:rsid w:val="00034474"/>
    <w:rsid w:val="000647A8"/>
    <w:rsid w:val="00065E92"/>
    <w:rsid w:val="00093D63"/>
    <w:rsid w:val="00094499"/>
    <w:rsid w:val="000A66C2"/>
    <w:rsid w:val="000C542A"/>
    <w:rsid w:val="000E14BA"/>
    <w:rsid w:val="000F0E9C"/>
    <w:rsid w:val="00111329"/>
    <w:rsid w:val="001134B4"/>
    <w:rsid w:val="00137225"/>
    <w:rsid w:val="001405B8"/>
    <w:rsid w:val="00152489"/>
    <w:rsid w:val="00153124"/>
    <w:rsid w:val="00155160"/>
    <w:rsid w:val="00160A73"/>
    <w:rsid w:val="001627A0"/>
    <w:rsid w:val="0017102F"/>
    <w:rsid w:val="0017225D"/>
    <w:rsid w:val="001745CC"/>
    <w:rsid w:val="00183505"/>
    <w:rsid w:val="00185400"/>
    <w:rsid w:val="00197EBD"/>
    <w:rsid w:val="001A15CA"/>
    <w:rsid w:val="001A4482"/>
    <w:rsid w:val="001B1CE3"/>
    <w:rsid w:val="001C5EC6"/>
    <w:rsid w:val="001D3D4F"/>
    <w:rsid w:val="00210AD4"/>
    <w:rsid w:val="00211845"/>
    <w:rsid w:val="0021555E"/>
    <w:rsid w:val="0021560A"/>
    <w:rsid w:val="002311F0"/>
    <w:rsid w:val="00235671"/>
    <w:rsid w:val="002506C2"/>
    <w:rsid w:val="002631C8"/>
    <w:rsid w:val="002765BC"/>
    <w:rsid w:val="002819AE"/>
    <w:rsid w:val="00291234"/>
    <w:rsid w:val="002936A1"/>
    <w:rsid w:val="002B103E"/>
    <w:rsid w:val="002B5E7B"/>
    <w:rsid w:val="002D5AB9"/>
    <w:rsid w:val="0032552A"/>
    <w:rsid w:val="00353C4E"/>
    <w:rsid w:val="0037408D"/>
    <w:rsid w:val="00383459"/>
    <w:rsid w:val="0039395C"/>
    <w:rsid w:val="003A203A"/>
    <w:rsid w:val="003B7ACC"/>
    <w:rsid w:val="003B7E98"/>
    <w:rsid w:val="003C7AF2"/>
    <w:rsid w:val="003D7FF7"/>
    <w:rsid w:val="003E0CB7"/>
    <w:rsid w:val="00400899"/>
    <w:rsid w:val="004164E3"/>
    <w:rsid w:val="004436F8"/>
    <w:rsid w:val="00473720"/>
    <w:rsid w:val="004B214F"/>
    <w:rsid w:val="004C2F83"/>
    <w:rsid w:val="004D0851"/>
    <w:rsid w:val="004D5FF4"/>
    <w:rsid w:val="004E18F7"/>
    <w:rsid w:val="004E56F1"/>
    <w:rsid w:val="00504EF5"/>
    <w:rsid w:val="00515093"/>
    <w:rsid w:val="00522184"/>
    <w:rsid w:val="00526D4E"/>
    <w:rsid w:val="00562710"/>
    <w:rsid w:val="005657FD"/>
    <w:rsid w:val="00570620"/>
    <w:rsid w:val="00575E81"/>
    <w:rsid w:val="00583F49"/>
    <w:rsid w:val="005D1806"/>
    <w:rsid w:val="005D5DBA"/>
    <w:rsid w:val="005E499E"/>
    <w:rsid w:val="00612B88"/>
    <w:rsid w:val="00631832"/>
    <w:rsid w:val="00633FE2"/>
    <w:rsid w:val="006655B8"/>
    <w:rsid w:val="00682587"/>
    <w:rsid w:val="00697821"/>
    <w:rsid w:val="006C1EBA"/>
    <w:rsid w:val="006D18E3"/>
    <w:rsid w:val="006E28D6"/>
    <w:rsid w:val="006F3823"/>
    <w:rsid w:val="0073785B"/>
    <w:rsid w:val="00742093"/>
    <w:rsid w:val="00785C9D"/>
    <w:rsid w:val="007A0E0C"/>
    <w:rsid w:val="007B054A"/>
    <w:rsid w:val="007C1A0A"/>
    <w:rsid w:val="007D6C9A"/>
    <w:rsid w:val="007E0AC5"/>
    <w:rsid w:val="00821EDB"/>
    <w:rsid w:val="0083121E"/>
    <w:rsid w:val="008532EE"/>
    <w:rsid w:val="00895D95"/>
    <w:rsid w:val="0089607C"/>
    <w:rsid w:val="00897CF8"/>
    <w:rsid w:val="008C0D1B"/>
    <w:rsid w:val="008F27B4"/>
    <w:rsid w:val="00900095"/>
    <w:rsid w:val="0091150E"/>
    <w:rsid w:val="00946CAD"/>
    <w:rsid w:val="009579B2"/>
    <w:rsid w:val="00963476"/>
    <w:rsid w:val="00985C99"/>
    <w:rsid w:val="00994109"/>
    <w:rsid w:val="00997101"/>
    <w:rsid w:val="009C00A1"/>
    <w:rsid w:val="009D3828"/>
    <w:rsid w:val="00A05A8E"/>
    <w:rsid w:val="00A16679"/>
    <w:rsid w:val="00A31556"/>
    <w:rsid w:val="00A37172"/>
    <w:rsid w:val="00A43D71"/>
    <w:rsid w:val="00A4596C"/>
    <w:rsid w:val="00A72694"/>
    <w:rsid w:val="00A7701D"/>
    <w:rsid w:val="00A77B97"/>
    <w:rsid w:val="00A855B3"/>
    <w:rsid w:val="00AA3D06"/>
    <w:rsid w:val="00AF59DD"/>
    <w:rsid w:val="00AF7FDE"/>
    <w:rsid w:val="00B13A42"/>
    <w:rsid w:val="00B13AD1"/>
    <w:rsid w:val="00B14595"/>
    <w:rsid w:val="00B1787B"/>
    <w:rsid w:val="00B4006E"/>
    <w:rsid w:val="00B40516"/>
    <w:rsid w:val="00B41B05"/>
    <w:rsid w:val="00B434D7"/>
    <w:rsid w:val="00B5251D"/>
    <w:rsid w:val="00B564BA"/>
    <w:rsid w:val="00B65751"/>
    <w:rsid w:val="00B65F19"/>
    <w:rsid w:val="00B70E7C"/>
    <w:rsid w:val="00B73115"/>
    <w:rsid w:val="00B903E5"/>
    <w:rsid w:val="00B91BAE"/>
    <w:rsid w:val="00BA36EA"/>
    <w:rsid w:val="00BA734A"/>
    <w:rsid w:val="00BB16D5"/>
    <w:rsid w:val="00BD1B4B"/>
    <w:rsid w:val="00BE051E"/>
    <w:rsid w:val="00BF14DA"/>
    <w:rsid w:val="00BF4C59"/>
    <w:rsid w:val="00C017C9"/>
    <w:rsid w:val="00C05787"/>
    <w:rsid w:val="00C20FA4"/>
    <w:rsid w:val="00C42159"/>
    <w:rsid w:val="00C43D46"/>
    <w:rsid w:val="00C44E89"/>
    <w:rsid w:val="00C57EF0"/>
    <w:rsid w:val="00C61F52"/>
    <w:rsid w:val="00C65511"/>
    <w:rsid w:val="00C9363B"/>
    <w:rsid w:val="00CA219B"/>
    <w:rsid w:val="00CB163C"/>
    <w:rsid w:val="00CC431A"/>
    <w:rsid w:val="00CD739D"/>
    <w:rsid w:val="00CE2C5F"/>
    <w:rsid w:val="00CF1E34"/>
    <w:rsid w:val="00D16795"/>
    <w:rsid w:val="00D25839"/>
    <w:rsid w:val="00D45686"/>
    <w:rsid w:val="00D57638"/>
    <w:rsid w:val="00D86E32"/>
    <w:rsid w:val="00DB5F63"/>
    <w:rsid w:val="00DC4E23"/>
    <w:rsid w:val="00DC7674"/>
    <w:rsid w:val="00DD0B8F"/>
    <w:rsid w:val="00E14656"/>
    <w:rsid w:val="00E22055"/>
    <w:rsid w:val="00E27A5E"/>
    <w:rsid w:val="00E31F35"/>
    <w:rsid w:val="00E32076"/>
    <w:rsid w:val="00E37768"/>
    <w:rsid w:val="00E4280C"/>
    <w:rsid w:val="00E5699B"/>
    <w:rsid w:val="00E702BE"/>
    <w:rsid w:val="00E82E96"/>
    <w:rsid w:val="00E8374E"/>
    <w:rsid w:val="00EA1F00"/>
    <w:rsid w:val="00EF017B"/>
    <w:rsid w:val="00EF2C34"/>
    <w:rsid w:val="00F05583"/>
    <w:rsid w:val="00F129D8"/>
    <w:rsid w:val="00F254BE"/>
    <w:rsid w:val="00F636AE"/>
    <w:rsid w:val="00F65AA5"/>
    <w:rsid w:val="00F86549"/>
    <w:rsid w:val="00FC05A7"/>
    <w:rsid w:val="00FE40A1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4596C"/>
    <w:pPr>
      <w:keepNext/>
      <w:spacing w:after="120" w:line="240" w:lineRule="auto"/>
      <w:jc w:val="both"/>
    </w:pPr>
    <w:rPr>
      <w:rFonts w:ascii="Verdana" w:eastAsia="Times" w:hAnsi="Verdana" w:cs="Times New Roman"/>
      <w:bCs/>
      <w:sz w:val="16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FE60C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0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5F6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5F6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5F6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F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4596C"/>
    <w:pPr>
      <w:keepNext/>
      <w:spacing w:after="120" w:line="240" w:lineRule="auto"/>
      <w:jc w:val="both"/>
    </w:pPr>
    <w:rPr>
      <w:rFonts w:ascii="Verdana" w:eastAsia="Times" w:hAnsi="Verdana" w:cs="Times New Roman"/>
      <w:bCs/>
      <w:sz w:val="16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FE60C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0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5F6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5F6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5F6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F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7F7B-A628-4DBF-91CD-7F798625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Antonio</dc:creator>
  <cp:lastModifiedBy>scroppi</cp:lastModifiedBy>
  <cp:revision>2</cp:revision>
  <cp:lastPrinted>2015-01-27T14:14:00Z</cp:lastPrinted>
  <dcterms:created xsi:type="dcterms:W3CDTF">2015-04-29T12:50:00Z</dcterms:created>
  <dcterms:modified xsi:type="dcterms:W3CDTF">2015-04-29T12:50:00Z</dcterms:modified>
</cp:coreProperties>
</file>