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4EB" w:rsidRPr="00426926" w:rsidRDefault="00B7686C" w:rsidP="0096645E">
      <w:pPr>
        <w:spacing w:before="0" w:after="0"/>
        <w:ind w:right="98"/>
        <w:rPr>
          <w:rFonts w:ascii="Bodoni MT" w:eastAsia="Times New Roman" w:hAnsi="Bodoni MT" w:cs="Times New Roman"/>
          <w:sz w:val="24"/>
          <w:szCs w:val="24"/>
          <w:lang w:eastAsia="it-IT"/>
        </w:rPr>
      </w:pPr>
      <w:bookmarkStart w:id="0" w:name="_GoBack"/>
      <w:bookmarkEnd w:id="0"/>
      <w:r>
        <w:rPr>
          <w:rFonts w:ascii="Bodoni MT" w:eastAsia="Times New Roman" w:hAnsi="Bodoni MT" w:cs="Times New Roman"/>
          <w:sz w:val="24"/>
          <w:szCs w:val="24"/>
          <w:lang w:eastAsia="it-IT"/>
        </w:rPr>
        <w:t xml:space="preserve">Del. n. </w:t>
      </w:r>
      <w:r w:rsidR="002B17D8">
        <w:rPr>
          <w:rFonts w:ascii="Bodoni MT" w:eastAsia="Times New Roman" w:hAnsi="Bodoni MT" w:cs="Times New Roman"/>
          <w:sz w:val="24"/>
          <w:szCs w:val="24"/>
          <w:lang w:eastAsia="it-IT"/>
        </w:rPr>
        <w:t>86</w:t>
      </w:r>
      <w:r>
        <w:rPr>
          <w:rFonts w:ascii="Bodoni MT" w:eastAsia="Times New Roman" w:hAnsi="Bodoni MT" w:cs="Times New Roman"/>
          <w:sz w:val="24"/>
          <w:szCs w:val="24"/>
          <w:lang w:eastAsia="it-IT"/>
        </w:rPr>
        <w:t>/2016</w:t>
      </w:r>
      <w:r w:rsidR="00CA74EB">
        <w:rPr>
          <w:rFonts w:ascii="Bodoni MT" w:eastAsia="Times New Roman" w:hAnsi="Bodoni MT" w:cs="Times New Roman"/>
          <w:sz w:val="24"/>
          <w:szCs w:val="24"/>
          <w:lang w:eastAsia="it-IT"/>
        </w:rPr>
        <w:t>/</w:t>
      </w:r>
      <w:r w:rsidR="008C6367">
        <w:rPr>
          <w:rFonts w:ascii="Bodoni MT" w:eastAsia="Times New Roman" w:hAnsi="Bodoni MT" w:cs="Times New Roman"/>
          <w:sz w:val="24"/>
          <w:szCs w:val="24"/>
          <w:lang w:eastAsia="it-IT"/>
        </w:rPr>
        <w:t>PAR</w:t>
      </w:r>
    </w:p>
    <w:p w:rsidR="00CA74EB" w:rsidRPr="00426926" w:rsidRDefault="00CA74EB" w:rsidP="00CA74EB">
      <w:pPr>
        <w:spacing w:before="0" w:after="0"/>
        <w:ind w:left="180" w:right="98"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72.5pt" o:ole="">
            <v:imagedata r:id="rId6" o:title=""/>
          </v:shape>
          <o:OLEObject Type="Embed" ProgID="Word.Picture.8" ShapeID="_x0000_i1025" DrawAspect="Content" ObjectID="_1534745496" r:id="rId7"/>
        </w:object>
      </w:r>
    </w:p>
    <w:p w:rsidR="00CA74EB" w:rsidRPr="00426926" w:rsidRDefault="00CA74EB" w:rsidP="00CA74EB">
      <w:pPr>
        <w:spacing w:before="0" w:after="0"/>
        <w:ind w:left="1416" w:right="96" w:firstLine="284"/>
        <w:jc w:val="left"/>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Sezione regionale di controllo per la Toscana</w:t>
      </w:r>
    </w:p>
    <w:p w:rsidR="00CA74EB" w:rsidRDefault="00CA74EB" w:rsidP="00CA74EB">
      <w:pPr>
        <w:spacing w:before="0" w:after="0"/>
        <w:ind w:left="284" w:right="96" w:firstLine="284"/>
        <w:jc w:val="left"/>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composta dai magistrati</w:t>
      </w:r>
      <w:r w:rsidR="00A170AF">
        <w:rPr>
          <w:rFonts w:ascii="Bodoni MT" w:eastAsia="Times New Roman" w:hAnsi="Bodoni MT" w:cs="Times New Roman"/>
          <w:sz w:val="24"/>
          <w:szCs w:val="24"/>
          <w:lang w:eastAsia="it-IT"/>
        </w:rPr>
        <w:t>:</w:t>
      </w:r>
    </w:p>
    <w:p w:rsidR="00876D4E" w:rsidRPr="00426926" w:rsidRDefault="00876D4E" w:rsidP="00CA74EB">
      <w:pPr>
        <w:spacing w:before="0" w:after="0"/>
        <w:ind w:left="284" w:right="96" w:firstLine="284"/>
        <w:jc w:val="left"/>
        <w:rPr>
          <w:rFonts w:ascii="Bodoni MT" w:eastAsia="Times New Roman" w:hAnsi="Bodoni MT" w:cs="Times New Roman"/>
          <w:sz w:val="24"/>
          <w:szCs w:val="24"/>
          <w:lang w:eastAsia="it-IT"/>
        </w:rPr>
      </w:pPr>
    </w:p>
    <w:p w:rsidR="00CA74EB" w:rsidRDefault="00CA74EB" w:rsidP="00CA74EB">
      <w:pPr>
        <w:spacing w:before="0" w:after="0"/>
        <w:ind w:left="284" w:right="98" w:firstLine="708"/>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Roberto TABBITA</w:t>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presidente</w:t>
      </w:r>
    </w:p>
    <w:p w:rsidR="00CA74EB" w:rsidRPr="00426926" w:rsidRDefault="00CA74EB" w:rsidP="00CA74EB">
      <w:pPr>
        <w:spacing w:before="0" w:after="0"/>
        <w:ind w:left="708" w:right="98"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Paolo PELUFFO</w:t>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consigliere</w:t>
      </w:r>
      <w:r w:rsidR="00BB24D9">
        <w:rPr>
          <w:rFonts w:ascii="Bodoni MT" w:eastAsia="Times New Roman" w:hAnsi="Bodoni MT" w:cs="Times New Roman"/>
          <w:sz w:val="24"/>
          <w:szCs w:val="24"/>
          <w:lang w:eastAsia="it-IT"/>
        </w:rPr>
        <w:t>, relatore</w:t>
      </w:r>
    </w:p>
    <w:p w:rsidR="00CA74EB" w:rsidRDefault="00CA74EB" w:rsidP="00CA74EB">
      <w:pPr>
        <w:spacing w:before="0" w:after="0"/>
        <w:ind w:left="708" w:right="98"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Emilia TRISCIUOGLIO</w:t>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consigliere</w:t>
      </w:r>
    </w:p>
    <w:p w:rsidR="00A952EA" w:rsidRDefault="00A952EA" w:rsidP="00A952EA">
      <w:pPr>
        <w:spacing w:before="0" w:after="0"/>
        <w:ind w:left="708" w:right="98" w:firstLine="284"/>
        <w:rPr>
          <w:rFonts w:ascii="Bodoni MT" w:eastAsia="Times New Roman" w:hAnsi="Bodoni MT" w:cs="Times New Roman"/>
          <w:sz w:val="24"/>
          <w:szCs w:val="24"/>
          <w:lang w:eastAsia="it-IT"/>
        </w:rPr>
      </w:pPr>
      <w:r w:rsidRPr="00A952EA">
        <w:rPr>
          <w:rFonts w:ascii="Bodoni MT" w:eastAsia="Times New Roman" w:hAnsi="Bodoni MT" w:cs="Times New Roman"/>
          <w:sz w:val="24"/>
          <w:szCs w:val="24"/>
          <w:lang w:eastAsia="it-IT"/>
        </w:rPr>
        <w:t>Marco BONCOMPAGNI</w:t>
      </w:r>
      <w:r w:rsidRPr="00A952EA">
        <w:rPr>
          <w:rFonts w:ascii="Bodoni MT" w:eastAsia="Times New Roman" w:hAnsi="Bodoni MT" w:cs="Times New Roman"/>
          <w:sz w:val="24"/>
          <w:szCs w:val="24"/>
          <w:lang w:eastAsia="it-IT"/>
        </w:rPr>
        <w:tab/>
      </w:r>
      <w:r w:rsidRPr="00A952EA">
        <w:rPr>
          <w:rFonts w:ascii="Bodoni MT" w:eastAsia="Times New Roman" w:hAnsi="Bodoni MT" w:cs="Times New Roman"/>
          <w:sz w:val="24"/>
          <w:szCs w:val="24"/>
          <w:lang w:eastAsia="it-IT"/>
        </w:rPr>
        <w:tab/>
      </w:r>
      <w:r w:rsidRPr="00A952EA">
        <w:rPr>
          <w:rFonts w:ascii="Bodoni MT" w:eastAsia="Times New Roman" w:hAnsi="Bodoni MT" w:cs="Times New Roman"/>
          <w:sz w:val="24"/>
          <w:szCs w:val="24"/>
          <w:lang w:eastAsia="it-IT"/>
        </w:rPr>
        <w:tab/>
      </w:r>
      <w:r w:rsidRPr="00A952EA">
        <w:rPr>
          <w:rFonts w:ascii="Bodoni MT" w:eastAsia="Times New Roman" w:hAnsi="Bodoni MT" w:cs="Times New Roman"/>
          <w:sz w:val="24"/>
          <w:szCs w:val="24"/>
          <w:lang w:eastAsia="it-IT"/>
        </w:rPr>
        <w:tab/>
        <w:t>consigliere</w:t>
      </w:r>
    </w:p>
    <w:p w:rsidR="00BB24D9" w:rsidRPr="00A952EA" w:rsidRDefault="00BB24D9" w:rsidP="00A952EA">
      <w:pPr>
        <w:spacing w:before="0" w:after="0"/>
        <w:ind w:left="708" w:right="98"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Mauro NORI</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consigliere</w:t>
      </w:r>
    </w:p>
    <w:p w:rsidR="00CA74EB" w:rsidRPr="00426926" w:rsidRDefault="00CA74EB" w:rsidP="00EB0842">
      <w:pPr>
        <w:spacing w:before="120" w:after="120"/>
        <w:ind w:left="284" w:right="96" w:firstLine="284"/>
        <w:jc w:val="left"/>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nell’adunanza del</w:t>
      </w:r>
      <w:r w:rsidR="00BB24D9">
        <w:rPr>
          <w:rFonts w:ascii="Bodoni MT" w:eastAsia="Times New Roman" w:hAnsi="Bodoni MT" w:cs="Times New Roman"/>
          <w:sz w:val="24"/>
          <w:szCs w:val="24"/>
          <w:lang w:eastAsia="it-IT"/>
        </w:rPr>
        <w:t xml:space="preserve"> 6 settembre 2016,</w:t>
      </w:r>
    </w:p>
    <w:p w:rsidR="00CA74EB" w:rsidRPr="00426926" w:rsidRDefault="00CA74EB" w:rsidP="00CA74EB">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VISTO l’art. 100, comma 2, della Costituzione;</w:t>
      </w:r>
    </w:p>
    <w:p w:rsidR="00CA74EB" w:rsidRPr="00426926" w:rsidRDefault="00CA74EB" w:rsidP="00CA74EB">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VISTO il testo unico delle leggi sulla Corte dei conti, approvato con r.d. 12 luglio 1934, n. 1214, e successive modificazioni;</w:t>
      </w:r>
    </w:p>
    <w:p w:rsidR="00CA74EB" w:rsidRPr="00426926" w:rsidRDefault="00CA74EB" w:rsidP="00CA74EB">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VISTA la legge 14 gennaio 1994, n. 20, recante disposizioni in materia di giurisdizione e controllo della Corte dei conti, e successive modificazioni; </w:t>
      </w:r>
    </w:p>
    <w:p w:rsidR="00CA74EB" w:rsidRPr="00426926" w:rsidRDefault="00CA74EB" w:rsidP="00CA74EB">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VISTA la legge 5 giugno 2003, n. 131, recante disposizioni per l’adeguamento dell’ordinamento della Repubblica alla legge costituzionale </w:t>
      </w:r>
      <w:smartTag w:uri="urn:schemas-microsoft-com:office:smarttags" w:element="date">
        <w:smartTagPr>
          <w:attr w:name="ls" w:val="trans"/>
          <w:attr w:name="Month" w:val="10"/>
          <w:attr w:name="Day" w:val="18"/>
          <w:attr w:name="Year" w:val="2001"/>
        </w:smartTagPr>
        <w:r w:rsidRPr="00426926">
          <w:rPr>
            <w:rFonts w:ascii="Bodoni MT" w:eastAsia="Times New Roman" w:hAnsi="Bodoni MT" w:cs="Times New Roman"/>
            <w:sz w:val="24"/>
            <w:szCs w:val="24"/>
            <w:lang w:eastAsia="it-IT"/>
          </w:rPr>
          <w:t>18 ottobre 2001</w:t>
        </w:r>
      </w:smartTag>
      <w:r w:rsidRPr="00426926">
        <w:rPr>
          <w:rFonts w:ascii="Bodoni MT" w:eastAsia="Times New Roman" w:hAnsi="Bodoni MT" w:cs="Times New Roman"/>
          <w:sz w:val="24"/>
          <w:szCs w:val="24"/>
          <w:lang w:eastAsia="it-IT"/>
        </w:rPr>
        <w:t>, n. 3;</w:t>
      </w:r>
    </w:p>
    <w:p w:rsidR="00CA74EB" w:rsidRPr="00426926" w:rsidRDefault="00F35091" w:rsidP="00CA74EB">
      <w:pPr>
        <w:spacing w:before="120" w:after="12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VISTO il regolamento 14/2000</w:t>
      </w:r>
      <w:r w:rsidR="00CA74EB" w:rsidRPr="00426926">
        <w:rPr>
          <w:rFonts w:ascii="Bodoni MT" w:eastAsia="Times New Roman" w:hAnsi="Bodoni MT" w:cs="Times New Roman"/>
          <w:sz w:val="24"/>
          <w:szCs w:val="24"/>
          <w:lang w:eastAsia="it-IT"/>
        </w:rPr>
        <w:t xml:space="preserve"> per l’organizzazione delle funzioni di controllo della Corte dei conti, deliberato dalle Sezioni riunite in data 16 giugno 2000</w:t>
      </w:r>
      <w:r>
        <w:rPr>
          <w:rFonts w:ascii="Bodoni MT" w:eastAsia="Times New Roman" w:hAnsi="Bodoni MT" w:cs="Times New Roman"/>
          <w:sz w:val="24"/>
          <w:szCs w:val="24"/>
          <w:lang w:eastAsia="it-IT"/>
        </w:rPr>
        <w:t>,</w:t>
      </w:r>
      <w:r w:rsidR="00CA74EB" w:rsidRPr="00426926">
        <w:rPr>
          <w:rFonts w:ascii="Bodoni MT" w:eastAsia="Times New Roman" w:hAnsi="Bodoni MT" w:cs="Times New Roman"/>
          <w:sz w:val="24"/>
          <w:szCs w:val="24"/>
          <w:lang w:eastAsia="it-IT"/>
        </w:rPr>
        <w:t xml:space="preserve"> e successive modifiche; </w:t>
      </w:r>
    </w:p>
    <w:p w:rsidR="00CA74EB" w:rsidRPr="00426926" w:rsidRDefault="00CA74EB" w:rsidP="00CA74EB">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VISTA la convenzione stipulata il 16 giugno 2006 tra la Sezione regionale, il Consiglio delle autonomie locali e la Giunta regionale della Toscana in materia di “ulteriori forme di collaborazione” tra la Corte e le autonomie, ai sensi dell’art. 7, comma 8, della citata legge n. 131 del 2003;</w:t>
      </w:r>
    </w:p>
    <w:p w:rsidR="00DE47A8" w:rsidRDefault="00CA74EB" w:rsidP="00876D4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UDITO il relatore, cons</w:t>
      </w:r>
      <w:r>
        <w:rPr>
          <w:rFonts w:ascii="Bodoni MT" w:eastAsia="Times New Roman" w:hAnsi="Bodoni MT" w:cs="Times New Roman"/>
          <w:sz w:val="24"/>
          <w:szCs w:val="24"/>
          <w:lang w:eastAsia="it-IT"/>
        </w:rPr>
        <w:t xml:space="preserve">igliere </w:t>
      </w:r>
      <w:r w:rsidR="00354C43">
        <w:rPr>
          <w:rFonts w:ascii="Bodoni MT" w:eastAsia="Times New Roman" w:hAnsi="Bodoni MT" w:cs="Times New Roman"/>
          <w:sz w:val="24"/>
          <w:szCs w:val="24"/>
          <w:lang w:eastAsia="it-IT"/>
        </w:rPr>
        <w:t>Paolo Peluffo</w:t>
      </w:r>
      <w:r w:rsidRPr="00426926">
        <w:rPr>
          <w:rFonts w:ascii="Bodoni MT" w:eastAsia="Times New Roman" w:hAnsi="Bodoni MT" w:cs="Times New Roman"/>
          <w:sz w:val="24"/>
          <w:szCs w:val="24"/>
          <w:lang w:eastAsia="it-IT"/>
        </w:rPr>
        <w:t>;</w:t>
      </w:r>
      <w:r w:rsidR="00DE47A8">
        <w:rPr>
          <w:rFonts w:ascii="Bodoni MT" w:eastAsia="Times New Roman" w:hAnsi="Bodoni MT" w:cs="Times New Roman"/>
          <w:sz w:val="24"/>
          <w:szCs w:val="24"/>
          <w:lang w:eastAsia="it-IT"/>
        </w:rPr>
        <w:br w:type="page"/>
      </w:r>
    </w:p>
    <w:p w:rsidR="00CA74EB" w:rsidRDefault="00CA74EB" w:rsidP="00EB0842">
      <w:pPr>
        <w:spacing w:before="120" w:after="120"/>
        <w:ind w:right="96"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lastRenderedPageBreak/>
        <w:t>PREMESSO</w:t>
      </w:r>
    </w:p>
    <w:p w:rsidR="00B7686C" w:rsidRDefault="00CA74EB" w:rsidP="00CA74EB">
      <w:pPr>
        <w:spacing w:before="0" w:after="0"/>
        <w:ind w:left="180"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Il</w:t>
      </w:r>
      <w:r w:rsidRPr="00D20057">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Consiglio delle autonomie l</w:t>
      </w:r>
      <w:r w:rsidR="005C76E4">
        <w:rPr>
          <w:rFonts w:ascii="Bodoni MT" w:eastAsia="Times New Roman" w:hAnsi="Bodoni MT" w:cs="Times New Roman"/>
          <w:sz w:val="24"/>
          <w:szCs w:val="24"/>
          <w:lang w:eastAsia="it-IT"/>
        </w:rPr>
        <w:t>ocali ha inoltrato</w:t>
      </w:r>
      <w:r w:rsidR="00582BCE" w:rsidRPr="00582BCE">
        <w:t xml:space="preserve"> </w:t>
      </w:r>
      <w:r w:rsidR="00582BCE" w:rsidRPr="00582BCE">
        <w:rPr>
          <w:rFonts w:ascii="Bodoni MT" w:eastAsia="Times New Roman" w:hAnsi="Bodoni MT" w:cs="Times New Roman"/>
          <w:sz w:val="24"/>
          <w:szCs w:val="24"/>
          <w:lang w:eastAsia="it-IT"/>
        </w:rPr>
        <w:t>alla Sezione</w:t>
      </w:r>
      <w:r w:rsidR="00582BCE">
        <w:rPr>
          <w:rFonts w:ascii="Bodoni MT" w:eastAsia="Times New Roman" w:hAnsi="Bodoni MT" w:cs="Times New Roman"/>
          <w:sz w:val="24"/>
          <w:szCs w:val="24"/>
          <w:lang w:eastAsia="it-IT"/>
        </w:rPr>
        <w:t>,</w:t>
      </w:r>
      <w:r w:rsidR="005C76E4">
        <w:rPr>
          <w:rFonts w:ascii="Bodoni MT" w:eastAsia="Times New Roman" w:hAnsi="Bodoni MT" w:cs="Times New Roman"/>
          <w:sz w:val="24"/>
          <w:szCs w:val="24"/>
          <w:lang w:eastAsia="it-IT"/>
        </w:rPr>
        <w:t xml:space="preserve"> </w:t>
      </w:r>
      <w:r w:rsidR="00582BCE" w:rsidRPr="00582BCE">
        <w:rPr>
          <w:rFonts w:ascii="Bodoni MT" w:eastAsia="Times New Roman" w:hAnsi="Bodoni MT" w:cs="Times New Roman"/>
          <w:sz w:val="24"/>
          <w:szCs w:val="24"/>
          <w:lang w:eastAsia="it-IT"/>
        </w:rPr>
        <w:t xml:space="preserve">con nota </w:t>
      </w:r>
      <w:r w:rsidR="00F35091">
        <w:rPr>
          <w:rFonts w:ascii="Bodoni MT" w:eastAsia="Times New Roman" w:hAnsi="Bodoni MT" w:cs="Times New Roman"/>
          <w:sz w:val="24"/>
          <w:szCs w:val="24"/>
          <w:lang w:eastAsia="it-IT"/>
        </w:rPr>
        <w:t>p</w:t>
      </w:r>
      <w:r w:rsidR="00582BCE" w:rsidRPr="00582BCE">
        <w:rPr>
          <w:rFonts w:ascii="Bodoni MT" w:eastAsia="Times New Roman" w:hAnsi="Bodoni MT" w:cs="Times New Roman"/>
          <w:sz w:val="24"/>
          <w:szCs w:val="24"/>
          <w:lang w:eastAsia="it-IT"/>
        </w:rPr>
        <w:t xml:space="preserve">rot. n. </w:t>
      </w:r>
      <w:r w:rsidR="00B7686C">
        <w:rPr>
          <w:rFonts w:ascii="Bodoni MT" w:eastAsia="Times New Roman" w:hAnsi="Bodoni MT" w:cs="Times New Roman"/>
          <w:sz w:val="24"/>
          <w:szCs w:val="24"/>
          <w:lang w:eastAsia="it-IT"/>
        </w:rPr>
        <w:t>14007</w:t>
      </w:r>
      <w:r w:rsidR="00582BCE" w:rsidRPr="00582BCE">
        <w:rPr>
          <w:rFonts w:ascii="Bodoni MT" w:eastAsia="Times New Roman" w:hAnsi="Bodoni MT" w:cs="Times New Roman"/>
          <w:sz w:val="24"/>
          <w:szCs w:val="24"/>
          <w:lang w:eastAsia="it-IT"/>
        </w:rPr>
        <w:t>/1.13.9</w:t>
      </w:r>
      <w:r w:rsidR="00582BCE">
        <w:rPr>
          <w:rFonts w:ascii="Bodoni MT" w:eastAsia="Times New Roman" w:hAnsi="Bodoni MT" w:cs="Times New Roman"/>
          <w:sz w:val="24"/>
          <w:szCs w:val="24"/>
          <w:lang w:eastAsia="it-IT"/>
        </w:rPr>
        <w:t>,</w:t>
      </w:r>
      <w:r w:rsidR="007F6B35">
        <w:rPr>
          <w:rFonts w:ascii="Bodoni MT" w:eastAsia="Times New Roman" w:hAnsi="Bodoni MT" w:cs="Times New Roman"/>
          <w:sz w:val="24"/>
          <w:szCs w:val="24"/>
          <w:lang w:eastAsia="it-IT"/>
        </w:rPr>
        <w:t xml:space="preserve"> pervenuta in data 31 maggio 2016,</w:t>
      </w:r>
      <w:r w:rsidR="00582BCE">
        <w:rPr>
          <w:rFonts w:ascii="Bodoni MT" w:eastAsia="Times New Roman" w:hAnsi="Bodoni MT" w:cs="Times New Roman"/>
          <w:sz w:val="24"/>
          <w:szCs w:val="24"/>
          <w:lang w:eastAsia="it-IT"/>
        </w:rPr>
        <w:t xml:space="preserve"> </w:t>
      </w:r>
      <w:r w:rsidR="00F35091">
        <w:rPr>
          <w:rFonts w:ascii="Bodoni MT" w:eastAsia="Times New Roman" w:hAnsi="Bodoni MT" w:cs="Times New Roman"/>
          <w:sz w:val="24"/>
          <w:szCs w:val="24"/>
          <w:lang w:eastAsia="it-IT"/>
        </w:rPr>
        <w:t>una richiesta di parere</w:t>
      </w:r>
      <w:r>
        <w:rPr>
          <w:rFonts w:ascii="Bodoni MT" w:eastAsia="Times New Roman" w:hAnsi="Bodoni MT" w:cs="Times New Roman"/>
          <w:sz w:val="24"/>
          <w:szCs w:val="24"/>
          <w:lang w:eastAsia="it-IT"/>
        </w:rPr>
        <w:t xml:space="preserve"> formulata dal</w:t>
      </w:r>
      <w:r w:rsidR="005C76E4">
        <w:rPr>
          <w:rFonts w:ascii="Bodoni MT" w:eastAsia="Times New Roman" w:hAnsi="Bodoni MT" w:cs="Times New Roman"/>
          <w:sz w:val="24"/>
          <w:szCs w:val="24"/>
          <w:lang w:eastAsia="it-IT"/>
        </w:rPr>
        <w:t xml:space="preserve"> comune di </w:t>
      </w:r>
      <w:r w:rsidR="00B7686C">
        <w:rPr>
          <w:rFonts w:ascii="Bodoni MT" w:eastAsia="Times New Roman" w:hAnsi="Bodoni MT" w:cs="Times New Roman"/>
          <w:sz w:val="24"/>
          <w:szCs w:val="24"/>
          <w:lang w:eastAsia="it-IT"/>
        </w:rPr>
        <w:t>Uzzano</w:t>
      </w:r>
      <w:r>
        <w:rPr>
          <w:rFonts w:ascii="Bodoni MT" w:eastAsia="Times New Roman" w:hAnsi="Bodoni MT" w:cs="Times New Roman"/>
          <w:sz w:val="24"/>
          <w:szCs w:val="24"/>
          <w:lang w:eastAsia="it-IT"/>
        </w:rPr>
        <w:t xml:space="preserve">, avente ad oggetto </w:t>
      </w:r>
      <w:r w:rsidR="00B7686C">
        <w:rPr>
          <w:rFonts w:ascii="Bodoni MT" w:eastAsia="Times New Roman" w:hAnsi="Bodoni MT" w:cs="Times New Roman"/>
          <w:sz w:val="24"/>
          <w:szCs w:val="24"/>
          <w:lang w:eastAsia="it-IT"/>
        </w:rPr>
        <w:t>i limiti al trattamento accessorio complessivo alla luce della norma dell’art. 1, comma 236 della l. 28 dicembre 2015, n. 208 (legge di stabilità per il 2016)</w:t>
      </w:r>
      <w:r w:rsidR="0069358C" w:rsidRPr="0069358C">
        <w:rPr>
          <w:rFonts w:ascii="Bodoni MT" w:eastAsia="Times New Roman" w:hAnsi="Bodoni MT" w:cs="Times New Roman"/>
          <w:sz w:val="24"/>
          <w:szCs w:val="24"/>
          <w:lang w:eastAsia="it-IT"/>
        </w:rPr>
        <w:t>.</w:t>
      </w:r>
      <w:r w:rsidR="00B7686C">
        <w:rPr>
          <w:rFonts w:ascii="Bodoni MT" w:eastAsia="Times New Roman" w:hAnsi="Bodoni MT" w:cs="Times New Roman"/>
          <w:sz w:val="24"/>
          <w:szCs w:val="24"/>
          <w:lang w:eastAsia="it-IT"/>
        </w:rPr>
        <w:t xml:space="preserve"> In particolare, l’ente ha convenzionato con altro comune alcune funzioni, in quanto entrambi i comuni sono stati inseriti nell’ambito ottimale ai fini del rispetto dell’art. 14, comma 28, d.l. 78/2010, conv. dalla l. n. 122/2010, e a seguito di ciò i due enti intendono attribuire la responsabilità del settore associato della polizia municipale </w:t>
      </w:r>
      <w:r w:rsidR="007F6B35">
        <w:rPr>
          <w:rFonts w:ascii="Bodoni MT" w:eastAsia="Times New Roman" w:hAnsi="Bodoni MT" w:cs="Times New Roman"/>
          <w:sz w:val="24"/>
          <w:szCs w:val="24"/>
          <w:lang w:eastAsia="it-IT"/>
        </w:rPr>
        <w:t xml:space="preserve">ad un dipendente del comune di Uzzano con conseguente superamento dell’importo della retribuzione di posizione rispetto al 2015 </w:t>
      </w:r>
      <w:r w:rsidR="007F6B35">
        <w:rPr>
          <w:rFonts w:ascii="Bodoni MT" w:eastAsia="Times New Roman" w:hAnsi="Bodoni MT" w:cs="Times New Roman"/>
          <w:sz w:val="24"/>
          <w:szCs w:val="24"/>
          <w:lang w:eastAsia="it-IT"/>
        </w:rPr>
        <w:lastRenderedPageBreak/>
        <w:t>nel comune in questione. Ciò non comporterebbe un incremento del trattamento accessorio dei due enti (considerati cumulativamente) poiché l’altro comune già prevedeva tale posizione.</w:t>
      </w:r>
    </w:p>
    <w:p w:rsidR="00CA74EB" w:rsidRDefault="00B7686C" w:rsidP="00CA74EB">
      <w:pPr>
        <w:spacing w:before="0" w:after="0"/>
        <w:ind w:left="180"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Il comune chiede di sapere se si possa superare il limite del trattamento accessorio</w:t>
      </w:r>
      <w:r w:rsidR="007F6B35">
        <w:rPr>
          <w:rFonts w:ascii="Bodoni MT" w:eastAsia="Times New Roman" w:hAnsi="Bodoni MT" w:cs="Times New Roman"/>
          <w:sz w:val="24"/>
          <w:szCs w:val="24"/>
          <w:lang w:eastAsia="it-IT"/>
        </w:rPr>
        <w:t xml:space="preserve"> di un singolo ente, rimanendo comunque inalterato il limite complessivo del trattamento accessorio dei due enti al fine di consentire una migliore organizzazione dei servizi. In subordine, se nel calcolo del limite al trattamento accessorio si possano considerare in modo aggregato le risorse destinate al trattamento accessorio complessivo dell’ente considerando come quota unica le risorse destinate alla produttività collettiva e alla retribuzione di posizione e risultato. In subordine se nel calcolo del limite del trattamento accessorio, si possano considerare in modo aggregato le risorse </w:t>
      </w:r>
      <w:r w:rsidR="007F6B35">
        <w:rPr>
          <w:rFonts w:ascii="Bodoni MT" w:eastAsia="Times New Roman" w:hAnsi="Bodoni MT" w:cs="Times New Roman"/>
          <w:sz w:val="24"/>
          <w:szCs w:val="24"/>
          <w:lang w:eastAsia="it-IT"/>
        </w:rPr>
        <w:lastRenderedPageBreak/>
        <w:t>destinate al trattamento accessorio da parte dei due enti, così da rispettare il vincolo nel complessivo dei due enti.</w:t>
      </w:r>
    </w:p>
    <w:p w:rsidR="00CA74EB" w:rsidRPr="00426926" w:rsidRDefault="00CA74EB" w:rsidP="00EB0842">
      <w:pPr>
        <w:spacing w:before="120" w:after="120"/>
        <w:ind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CONSIDERATO</w:t>
      </w:r>
    </w:p>
    <w:p w:rsidR="00CA74EB" w:rsidRPr="005D6585" w:rsidRDefault="00CA74EB" w:rsidP="00CA74EB">
      <w:pPr>
        <w:spacing w:before="0" w:after="0"/>
        <w:ind w:firstLine="284"/>
        <w:rPr>
          <w:rFonts w:ascii="Bodoni MT" w:eastAsia="Times New Roman" w:hAnsi="Bodoni MT" w:cs="Times New Roman"/>
          <w:sz w:val="24"/>
          <w:szCs w:val="24"/>
          <w:lang w:eastAsia="it-IT"/>
        </w:rPr>
      </w:pPr>
      <w:r w:rsidRPr="005D6585">
        <w:rPr>
          <w:rFonts w:ascii="Bodoni MT" w:eastAsia="Times New Roman" w:hAnsi="Bodoni MT" w:cs="Times New Roman"/>
          <w:sz w:val="24"/>
          <w:szCs w:val="24"/>
          <w:lang w:eastAsia="it-IT"/>
        </w:rPr>
        <w:t xml:space="preserve">È necessario, in </w:t>
      </w:r>
      <w:r>
        <w:rPr>
          <w:rFonts w:ascii="Bodoni MT" w:eastAsia="Times New Roman" w:hAnsi="Bodoni MT" w:cs="Times New Roman"/>
          <w:sz w:val="24"/>
          <w:szCs w:val="24"/>
          <w:lang w:eastAsia="it-IT"/>
        </w:rPr>
        <w:t>via preliminare</w:t>
      </w:r>
      <w:r w:rsidRPr="005D6585">
        <w:rPr>
          <w:rFonts w:ascii="Bodoni MT" w:eastAsia="Times New Roman" w:hAnsi="Bodoni MT" w:cs="Times New Roman"/>
          <w:sz w:val="24"/>
          <w:szCs w:val="24"/>
          <w:lang w:eastAsia="it-IT"/>
        </w:rPr>
        <w:t xml:space="preserve">, verificare la sussistenza dei requisiti soggettivi e oggettivi </w:t>
      </w:r>
      <w:r>
        <w:rPr>
          <w:rFonts w:ascii="Bodoni MT" w:eastAsia="Times New Roman" w:hAnsi="Bodoni MT" w:cs="Times New Roman"/>
          <w:sz w:val="24"/>
          <w:szCs w:val="24"/>
          <w:lang w:eastAsia="it-IT"/>
        </w:rPr>
        <w:t>di ammissibilità.</w:t>
      </w:r>
    </w:p>
    <w:p w:rsidR="00CA74EB" w:rsidRPr="005D6585" w:rsidRDefault="00CA74EB" w:rsidP="00CA74EB">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Sotto il profilo soggettivo, la richiesta di parere è da ritenersi ammissibile, </w:t>
      </w:r>
      <w:r w:rsidRPr="005D6585">
        <w:rPr>
          <w:rFonts w:ascii="Bodoni MT" w:eastAsia="Times New Roman" w:hAnsi="Bodoni MT" w:cs="Times New Roman"/>
          <w:sz w:val="24"/>
          <w:szCs w:val="24"/>
          <w:lang w:eastAsia="it-IT"/>
        </w:rPr>
        <w:t>in quanto formulata</w:t>
      </w:r>
      <w:r w:rsidR="004E178A">
        <w:rPr>
          <w:rFonts w:ascii="Bodoni MT" w:eastAsia="Times New Roman" w:hAnsi="Bodoni MT" w:cs="Times New Roman"/>
          <w:sz w:val="24"/>
          <w:szCs w:val="24"/>
          <w:lang w:eastAsia="it-IT"/>
        </w:rPr>
        <w:t xml:space="preserve">, </w:t>
      </w:r>
      <w:r w:rsidR="004E178A" w:rsidRPr="005D6585">
        <w:rPr>
          <w:rFonts w:ascii="Bodoni MT" w:eastAsia="Times New Roman" w:hAnsi="Bodoni MT" w:cs="Times New Roman"/>
          <w:sz w:val="24"/>
          <w:szCs w:val="24"/>
          <w:lang w:eastAsia="it-IT"/>
        </w:rPr>
        <w:t>per il tramite del Consiglio delle autonomie</w:t>
      </w:r>
      <w:r w:rsidR="004E178A">
        <w:rPr>
          <w:rFonts w:ascii="Bodoni MT" w:eastAsia="Times New Roman" w:hAnsi="Bodoni MT" w:cs="Times New Roman"/>
          <w:sz w:val="24"/>
          <w:szCs w:val="24"/>
          <w:lang w:eastAsia="it-IT"/>
        </w:rPr>
        <w:t>,</w:t>
      </w:r>
      <w:r w:rsidRPr="005D6585">
        <w:rPr>
          <w:rFonts w:ascii="Bodoni MT" w:eastAsia="Times New Roman" w:hAnsi="Bodoni MT" w:cs="Times New Roman"/>
          <w:sz w:val="24"/>
          <w:szCs w:val="24"/>
          <w:lang w:eastAsia="it-IT"/>
        </w:rPr>
        <w:t xml:space="preserve"> dall’organo politico di vertice e rappresentante legale dell’e</w:t>
      </w:r>
      <w:r w:rsidR="004E178A">
        <w:rPr>
          <w:rFonts w:ascii="Bodoni MT" w:eastAsia="Times New Roman" w:hAnsi="Bodoni MT" w:cs="Times New Roman"/>
          <w:sz w:val="24"/>
          <w:szCs w:val="24"/>
          <w:lang w:eastAsia="it-IT"/>
        </w:rPr>
        <w:t>nte, ai sensi dell’art. 50 Tuel</w:t>
      </w:r>
      <w:r w:rsidRPr="005D6585">
        <w:rPr>
          <w:rFonts w:ascii="Bodoni MT" w:eastAsia="Times New Roman" w:hAnsi="Bodoni MT" w:cs="Times New Roman"/>
          <w:sz w:val="24"/>
          <w:szCs w:val="24"/>
          <w:lang w:eastAsia="it-IT"/>
        </w:rPr>
        <w:t>.</w:t>
      </w:r>
    </w:p>
    <w:p w:rsidR="00CA74EB" w:rsidRDefault="00CC03EC" w:rsidP="00CA74EB">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Anche sotto</w:t>
      </w:r>
      <w:r w:rsidR="0069358C">
        <w:rPr>
          <w:rFonts w:ascii="Bodoni MT" w:eastAsia="Times New Roman" w:hAnsi="Bodoni MT" w:cs="Times New Roman"/>
          <w:sz w:val="24"/>
          <w:szCs w:val="24"/>
          <w:lang w:eastAsia="it-IT"/>
        </w:rPr>
        <w:t xml:space="preserve"> il profilo oggettivo </w:t>
      </w:r>
      <w:r w:rsidR="00FA4A44">
        <w:rPr>
          <w:rFonts w:ascii="Bodoni MT" w:eastAsia="Times New Roman" w:hAnsi="Bodoni MT" w:cs="Times New Roman"/>
          <w:sz w:val="24"/>
          <w:szCs w:val="24"/>
          <w:lang w:eastAsia="it-IT"/>
        </w:rPr>
        <w:t xml:space="preserve">risultano </w:t>
      </w:r>
      <w:r w:rsidR="0069358C">
        <w:rPr>
          <w:rFonts w:ascii="Bodoni MT" w:eastAsia="Times New Roman" w:hAnsi="Bodoni MT" w:cs="Times New Roman"/>
          <w:sz w:val="24"/>
          <w:szCs w:val="24"/>
          <w:lang w:eastAsia="it-IT"/>
        </w:rPr>
        <w:t xml:space="preserve">integrati i presupposti di ammissibilità, </w:t>
      </w:r>
      <w:r w:rsidR="000073C2">
        <w:rPr>
          <w:rFonts w:ascii="Bodoni MT" w:eastAsia="Times New Roman" w:hAnsi="Bodoni MT" w:cs="Times New Roman"/>
          <w:sz w:val="24"/>
          <w:szCs w:val="24"/>
          <w:lang w:eastAsia="it-IT"/>
        </w:rPr>
        <w:t>poiché</w:t>
      </w:r>
      <w:r w:rsidR="00FA4A44">
        <w:rPr>
          <w:rFonts w:ascii="Bodoni MT" w:eastAsia="Times New Roman" w:hAnsi="Bodoni MT" w:cs="Times New Roman"/>
          <w:sz w:val="24"/>
          <w:szCs w:val="24"/>
          <w:lang w:eastAsia="it-IT"/>
        </w:rPr>
        <w:t xml:space="preserve"> </w:t>
      </w:r>
      <w:r w:rsidR="0069358C">
        <w:rPr>
          <w:rFonts w:ascii="Bodoni MT" w:eastAsia="Times New Roman" w:hAnsi="Bodoni MT" w:cs="Times New Roman"/>
          <w:sz w:val="24"/>
          <w:szCs w:val="24"/>
          <w:lang w:eastAsia="it-IT"/>
        </w:rPr>
        <w:t xml:space="preserve">la </w:t>
      </w:r>
      <w:r w:rsidR="00CA74EB">
        <w:rPr>
          <w:rFonts w:ascii="Bodoni MT" w:eastAsia="Times New Roman" w:hAnsi="Bodoni MT" w:cs="Times New Roman"/>
          <w:sz w:val="24"/>
          <w:szCs w:val="24"/>
          <w:lang w:eastAsia="it-IT"/>
        </w:rPr>
        <w:t xml:space="preserve">richiesta </w:t>
      </w:r>
      <w:r w:rsidR="00FA4A44">
        <w:rPr>
          <w:rFonts w:ascii="Bodoni MT" w:eastAsia="Times New Roman" w:hAnsi="Bodoni MT" w:cs="Times New Roman"/>
          <w:sz w:val="24"/>
          <w:szCs w:val="24"/>
          <w:lang w:eastAsia="it-IT"/>
        </w:rPr>
        <w:t xml:space="preserve">è sicuramente </w:t>
      </w:r>
      <w:r w:rsidR="0069358C">
        <w:rPr>
          <w:rFonts w:ascii="Bodoni MT" w:eastAsia="Times New Roman" w:hAnsi="Bodoni MT" w:cs="Times New Roman"/>
          <w:sz w:val="24"/>
          <w:szCs w:val="24"/>
          <w:lang w:eastAsia="it-IT"/>
        </w:rPr>
        <w:t xml:space="preserve">riconducibile </w:t>
      </w:r>
      <w:r w:rsidR="00CA74EB">
        <w:rPr>
          <w:rFonts w:ascii="Bodoni MT" w:eastAsia="Times New Roman" w:hAnsi="Bodoni MT" w:cs="Times New Roman"/>
          <w:sz w:val="24"/>
          <w:szCs w:val="24"/>
          <w:lang w:eastAsia="it-IT"/>
        </w:rPr>
        <w:t xml:space="preserve">alla </w:t>
      </w:r>
      <w:r w:rsidR="00CA74EB" w:rsidRPr="005D6585">
        <w:rPr>
          <w:rFonts w:ascii="Bodoni MT" w:eastAsia="Times New Roman" w:hAnsi="Bodoni MT" w:cs="Times New Roman"/>
          <w:sz w:val="24"/>
          <w:szCs w:val="24"/>
          <w:lang w:eastAsia="it-IT"/>
        </w:rPr>
        <w:t>mate</w:t>
      </w:r>
      <w:r w:rsidR="00CA74EB">
        <w:rPr>
          <w:rFonts w:ascii="Bodoni MT" w:eastAsia="Times New Roman" w:hAnsi="Bodoni MT" w:cs="Times New Roman"/>
          <w:sz w:val="24"/>
          <w:szCs w:val="24"/>
          <w:lang w:eastAsia="it-IT"/>
        </w:rPr>
        <w:t>ria della contabilità pubblica</w:t>
      </w:r>
      <w:r w:rsidR="00FA4A44">
        <w:rPr>
          <w:rFonts w:ascii="Bodoni MT" w:eastAsia="Times New Roman" w:hAnsi="Bodoni MT" w:cs="Times New Roman"/>
          <w:sz w:val="24"/>
          <w:szCs w:val="24"/>
          <w:lang w:eastAsia="it-IT"/>
        </w:rPr>
        <w:t xml:space="preserve">, </w:t>
      </w:r>
      <w:r w:rsidR="000073C2">
        <w:rPr>
          <w:rFonts w:ascii="Bodoni MT" w:eastAsia="Times New Roman" w:hAnsi="Bodoni MT" w:cs="Times New Roman"/>
          <w:sz w:val="24"/>
          <w:szCs w:val="24"/>
          <w:lang w:eastAsia="it-IT"/>
        </w:rPr>
        <w:t xml:space="preserve">nell’accezione estesa adottata dalle Sezioni riunite con deliberazione n. 54/2010, che </w:t>
      </w:r>
      <w:r w:rsidR="000073C2">
        <w:rPr>
          <w:rFonts w:ascii="Bodoni MT" w:eastAsia="Times New Roman" w:hAnsi="Bodoni MT" w:cs="Times New Roman"/>
          <w:sz w:val="24"/>
          <w:szCs w:val="24"/>
          <w:lang w:eastAsia="it-IT"/>
        </w:rPr>
        <w:lastRenderedPageBreak/>
        <w:t xml:space="preserve">comprende non solo </w:t>
      </w:r>
      <w:r w:rsidR="00243058">
        <w:rPr>
          <w:rFonts w:ascii="Bodoni MT" w:eastAsia="Times New Roman" w:hAnsi="Bodoni MT" w:cs="Times New Roman"/>
          <w:sz w:val="24"/>
          <w:szCs w:val="24"/>
          <w:lang w:eastAsia="it-IT"/>
        </w:rPr>
        <w:t xml:space="preserve">la disciplina dei bilanci in senso stretto, ma anche, </w:t>
      </w:r>
      <w:r w:rsidR="00FA4A44">
        <w:rPr>
          <w:rFonts w:ascii="Bodoni MT" w:eastAsia="Times New Roman" w:hAnsi="Bodoni MT" w:cs="Times New Roman"/>
          <w:sz w:val="24"/>
          <w:szCs w:val="24"/>
          <w:lang w:eastAsia="it-IT"/>
        </w:rPr>
        <w:t xml:space="preserve">in </w:t>
      </w:r>
      <w:r w:rsidR="00FB3C1B">
        <w:rPr>
          <w:rFonts w:ascii="Bodoni MT" w:eastAsia="Times New Roman" w:hAnsi="Bodoni MT" w:cs="Times New Roman"/>
          <w:sz w:val="24"/>
          <w:szCs w:val="24"/>
          <w:lang w:eastAsia="it-IT"/>
        </w:rPr>
        <w:t>modo</w:t>
      </w:r>
      <w:r w:rsidR="00FA4A44">
        <w:rPr>
          <w:rFonts w:ascii="Bodoni MT" w:eastAsia="Times New Roman" w:hAnsi="Bodoni MT" w:cs="Times New Roman"/>
          <w:sz w:val="24"/>
          <w:szCs w:val="24"/>
          <w:lang w:eastAsia="it-IT"/>
        </w:rPr>
        <w:t xml:space="preserve"> dinamico</w:t>
      </w:r>
      <w:r w:rsidR="00243058">
        <w:rPr>
          <w:rFonts w:ascii="Bodoni MT" w:eastAsia="Times New Roman" w:hAnsi="Bodoni MT" w:cs="Times New Roman"/>
          <w:sz w:val="24"/>
          <w:szCs w:val="24"/>
          <w:lang w:eastAsia="it-IT"/>
        </w:rPr>
        <w:t>,</w:t>
      </w:r>
      <w:r w:rsidR="00FA4A44">
        <w:rPr>
          <w:rFonts w:ascii="Bodoni MT" w:eastAsia="Times New Roman" w:hAnsi="Bodoni MT" w:cs="Times New Roman"/>
          <w:sz w:val="24"/>
          <w:szCs w:val="24"/>
          <w:lang w:eastAsia="it-IT"/>
        </w:rPr>
        <w:t xml:space="preserve"> le materie che incidono sulla gestione del bilancio e sui suoi equilibri</w:t>
      </w:r>
      <w:r w:rsidR="00243058">
        <w:rPr>
          <w:rFonts w:ascii="Bodoni MT" w:eastAsia="Times New Roman" w:hAnsi="Bodoni MT" w:cs="Times New Roman"/>
          <w:sz w:val="24"/>
          <w:szCs w:val="24"/>
          <w:lang w:eastAsia="it-IT"/>
        </w:rPr>
        <w:t>, nel quadro di obiettivi di contenimento della spesa sanciti da principi di coordinamento della finanza pubblica</w:t>
      </w:r>
      <w:r w:rsidR="000073C2">
        <w:rPr>
          <w:rFonts w:ascii="Bodoni MT" w:eastAsia="Times New Roman" w:hAnsi="Bodoni MT" w:cs="Times New Roman"/>
          <w:sz w:val="24"/>
          <w:szCs w:val="24"/>
          <w:lang w:eastAsia="it-IT"/>
        </w:rPr>
        <w:t>.</w:t>
      </w:r>
    </w:p>
    <w:p w:rsidR="00CA74EB" w:rsidRDefault="00B36B5D" w:rsidP="00CA74EB">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La questione proposta presenta, inoltre,</w:t>
      </w:r>
      <w:r w:rsidR="00CA74EB">
        <w:rPr>
          <w:rFonts w:ascii="Bodoni MT" w:eastAsia="Times New Roman" w:hAnsi="Bodoni MT" w:cs="Times New Roman"/>
          <w:sz w:val="24"/>
          <w:szCs w:val="24"/>
          <w:lang w:eastAsia="it-IT"/>
        </w:rPr>
        <w:t xml:space="preserve"> </w:t>
      </w:r>
      <w:r w:rsidR="00CA74EB" w:rsidRPr="005D6585">
        <w:rPr>
          <w:rFonts w:ascii="Bodoni MT" w:eastAsia="Times New Roman" w:hAnsi="Bodoni MT" w:cs="Times New Roman"/>
          <w:sz w:val="24"/>
          <w:szCs w:val="24"/>
          <w:lang w:eastAsia="it-IT"/>
        </w:rPr>
        <w:t>requisiti di generalità ed astrattezza</w:t>
      </w:r>
      <w:r w:rsidR="00FA4A44">
        <w:rPr>
          <w:rFonts w:ascii="Bodoni MT" w:eastAsia="Times New Roman" w:hAnsi="Bodoni MT" w:cs="Times New Roman"/>
          <w:sz w:val="24"/>
          <w:szCs w:val="24"/>
          <w:lang w:eastAsia="it-IT"/>
        </w:rPr>
        <w:t xml:space="preserve"> tali da escludere </w:t>
      </w:r>
      <w:r w:rsidR="000073C2">
        <w:rPr>
          <w:rFonts w:ascii="Bodoni MT" w:eastAsia="Times New Roman" w:hAnsi="Bodoni MT" w:cs="Times New Roman"/>
          <w:sz w:val="24"/>
          <w:szCs w:val="24"/>
          <w:lang w:eastAsia="it-IT"/>
        </w:rPr>
        <w:t xml:space="preserve">ogni </w:t>
      </w:r>
      <w:r w:rsidR="00BE281F">
        <w:rPr>
          <w:rFonts w:ascii="Bodoni MT" w:eastAsia="Times New Roman" w:hAnsi="Bodoni MT" w:cs="Times New Roman"/>
          <w:sz w:val="24"/>
          <w:szCs w:val="24"/>
          <w:lang w:eastAsia="it-IT"/>
        </w:rPr>
        <w:t xml:space="preserve">interferenza </w:t>
      </w:r>
      <w:r w:rsidR="00FA4A44">
        <w:rPr>
          <w:rFonts w:ascii="Bodoni MT" w:eastAsia="Times New Roman" w:hAnsi="Bodoni MT" w:cs="Times New Roman"/>
          <w:sz w:val="24"/>
          <w:szCs w:val="24"/>
          <w:lang w:eastAsia="it-IT"/>
        </w:rPr>
        <w:t xml:space="preserve">della Corte </w:t>
      </w:r>
      <w:r w:rsidR="00BE281F">
        <w:rPr>
          <w:rFonts w:ascii="Bodoni MT" w:eastAsia="Times New Roman" w:hAnsi="Bodoni MT" w:cs="Times New Roman"/>
          <w:sz w:val="24"/>
          <w:szCs w:val="24"/>
          <w:lang w:eastAsia="it-IT"/>
        </w:rPr>
        <w:t>sul</w:t>
      </w:r>
      <w:r w:rsidR="004E178A">
        <w:rPr>
          <w:rFonts w:ascii="Bodoni MT" w:eastAsia="Times New Roman" w:hAnsi="Bodoni MT" w:cs="Times New Roman"/>
          <w:sz w:val="24"/>
          <w:szCs w:val="24"/>
          <w:lang w:eastAsia="it-IT"/>
        </w:rPr>
        <w:t xml:space="preserve">la </w:t>
      </w:r>
      <w:r w:rsidR="00FA4A44">
        <w:rPr>
          <w:rFonts w:ascii="Bodoni MT" w:eastAsia="Times New Roman" w:hAnsi="Bodoni MT" w:cs="Times New Roman"/>
          <w:sz w:val="24"/>
          <w:szCs w:val="24"/>
          <w:lang w:eastAsia="it-IT"/>
        </w:rPr>
        <w:t xml:space="preserve">concreta attività gestionale e amministrativa </w:t>
      </w:r>
      <w:r w:rsidR="00CC03EC">
        <w:rPr>
          <w:rFonts w:ascii="Bodoni MT" w:eastAsia="Times New Roman" w:hAnsi="Bodoni MT" w:cs="Times New Roman"/>
          <w:sz w:val="24"/>
          <w:szCs w:val="24"/>
          <w:lang w:eastAsia="it-IT"/>
        </w:rPr>
        <w:t xml:space="preserve">propria degli </w:t>
      </w:r>
      <w:r w:rsidR="00FA4A44">
        <w:rPr>
          <w:rFonts w:ascii="Bodoni MT" w:eastAsia="Times New Roman" w:hAnsi="Bodoni MT" w:cs="Times New Roman"/>
          <w:sz w:val="24"/>
          <w:szCs w:val="24"/>
          <w:lang w:eastAsia="it-IT"/>
        </w:rPr>
        <w:t>enti di autonomia</w:t>
      </w:r>
      <w:r w:rsidR="004E178A">
        <w:rPr>
          <w:rFonts w:ascii="Bodoni MT" w:eastAsia="Times New Roman" w:hAnsi="Bodoni MT" w:cs="Times New Roman"/>
          <w:sz w:val="24"/>
          <w:szCs w:val="24"/>
          <w:lang w:eastAsia="it-IT"/>
        </w:rPr>
        <w:t>,</w:t>
      </w:r>
      <w:r w:rsidR="00FA4A44">
        <w:rPr>
          <w:rFonts w:ascii="Bodoni MT" w:eastAsia="Times New Roman" w:hAnsi="Bodoni MT" w:cs="Times New Roman"/>
          <w:sz w:val="24"/>
          <w:szCs w:val="24"/>
          <w:lang w:eastAsia="it-IT"/>
        </w:rPr>
        <w:t xml:space="preserve"> </w:t>
      </w:r>
      <w:r w:rsidR="000073C2">
        <w:rPr>
          <w:rFonts w:ascii="Bodoni MT" w:eastAsia="Times New Roman" w:hAnsi="Bodoni MT" w:cs="Times New Roman"/>
          <w:sz w:val="24"/>
          <w:szCs w:val="24"/>
          <w:lang w:eastAsia="it-IT"/>
        </w:rPr>
        <w:t>e</w:t>
      </w:r>
      <w:r w:rsidR="00FA4A44">
        <w:rPr>
          <w:rFonts w:ascii="Bodoni MT" w:eastAsia="Times New Roman" w:hAnsi="Bodoni MT" w:cs="Times New Roman"/>
          <w:sz w:val="24"/>
          <w:szCs w:val="24"/>
          <w:lang w:eastAsia="it-IT"/>
        </w:rPr>
        <w:t xml:space="preserve"> </w:t>
      </w:r>
      <w:r w:rsidR="00BE281F">
        <w:rPr>
          <w:rFonts w:ascii="Bodoni MT" w:eastAsia="Times New Roman" w:hAnsi="Bodoni MT" w:cs="Times New Roman"/>
          <w:sz w:val="24"/>
          <w:szCs w:val="24"/>
          <w:lang w:eastAsia="it-IT"/>
        </w:rPr>
        <w:t>sulle</w:t>
      </w:r>
      <w:r w:rsidR="00CC03EC">
        <w:rPr>
          <w:rFonts w:ascii="Bodoni MT" w:eastAsia="Times New Roman" w:hAnsi="Bodoni MT" w:cs="Times New Roman"/>
          <w:sz w:val="24"/>
          <w:szCs w:val="24"/>
          <w:lang w:eastAsia="it-IT"/>
        </w:rPr>
        <w:t xml:space="preserve"> </w:t>
      </w:r>
      <w:r w:rsidR="00FA4A44">
        <w:rPr>
          <w:rFonts w:ascii="Bodoni MT" w:eastAsia="Times New Roman" w:hAnsi="Bodoni MT" w:cs="Times New Roman"/>
          <w:sz w:val="24"/>
          <w:szCs w:val="24"/>
          <w:lang w:eastAsia="it-IT"/>
        </w:rPr>
        <w:t>competenze di altri organi giurisdizionali</w:t>
      </w:r>
      <w:r w:rsidR="00CA74EB">
        <w:rPr>
          <w:rFonts w:ascii="Bodoni MT" w:eastAsia="Times New Roman" w:hAnsi="Bodoni MT" w:cs="Times New Roman"/>
          <w:sz w:val="24"/>
          <w:szCs w:val="24"/>
          <w:lang w:eastAsia="it-IT"/>
        </w:rPr>
        <w:t xml:space="preserve">. </w:t>
      </w:r>
    </w:p>
    <w:p w:rsidR="007F6B35" w:rsidRDefault="005A25C8" w:rsidP="007F6B35">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Nel merito,</w:t>
      </w:r>
      <w:r w:rsidR="0014069B">
        <w:rPr>
          <w:rFonts w:ascii="Bodoni MT" w:eastAsia="Times New Roman" w:hAnsi="Bodoni MT" w:cs="Times New Roman"/>
          <w:sz w:val="24"/>
          <w:szCs w:val="24"/>
          <w:lang w:eastAsia="it-IT"/>
        </w:rPr>
        <w:t xml:space="preserve"> </w:t>
      </w:r>
      <w:r w:rsidR="005B457B">
        <w:rPr>
          <w:rFonts w:ascii="Bodoni MT" w:eastAsia="Times New Roman" w:hAnsi="Bodoni MT" w:cs="Times New Roman"/>
          <w:sz w:val="24"/>
          <w:szCs w:val="24"/>
          <w:lang w:eastAsia="it-IT"/>
        </w:rPr>
        <w:t>il comma 236 dell’articolo unico della legge di stabilità per il 2016 prevede che, n</w:t>
      </w:r>
      <w:r w:rsidR="005B457B" w:rsidRPr="005B457B">
        <w:rPr>
          <w:rFonts w:ascii="Bodoni MT" w:eastAsia="Times New Roman" w:hAnsi="Bodoni MT" w:cs="Times New Roman"/>
          <w:sz w:val="24"/>
          <w:szCs w:val="24"/>
          <w:lang w:eastAsia="it-IT"/>
        </w:rPr>
        <w:t xml:space="preserve">elle more dell'adozione dei decreti legislativi attuativi </w:t>
      </w:r>
      <w:r w:rsidR="005B457B">
        <w:rPr>
          <w:rFonts w:ascii="Bodoni MT" w:eastAsia="Times New Roman" w:hAnsi="Bodoni MT" w:cs="Times New Roman"/>
          <w:sz w:val="24"/>
          <w:szCs w:val="24"/>
          <w:lang w:eastAsia="it-IT"/>
        </w:rPr>
        <w:t>della legge delega  in materia di riorganizzazione della amministrazioni pubbliche (l. n. 124/2015),</w:t>
      </w:r>
      <w:r w:rsidR="005B457B" w:rsidRPr="005B457B">
        <w:rPr>
          <w:rFonts w:ascii="Bodoni MT" w:eastAsia="Times New Roman" w:hAnsi="Bodoni MT" w:cs="Times New Roman"/>
          <w:sz w:val="24"/>
          <w:szCs w:val="24"/>
          <w:lang w:eastAsia="it-IT"/>
        </w:rPr>
        <w:t xml:space="preserve"> </w:t>
      </w:r>
      <w:r w:rsidR="005B457B">
        <w:rPr>
          <w:rFonts w:ascii="Bodoni MT" w:eastAsia="Times New Roman" w:hAnsi="Bodoni MT" w:cs="Times New Roman"/>
          <w:sz w:val="24"/>
          <w:szCs w:val="24"/>
          <w:lang w:eastAsia="it-IT"/>
        </w:rPr>
        <w:t>“</w:t>
      </w:r>
      <w:r w:rsidR="005B457B" w:rsidRPr="005B457B">
        <w:rPr>
          <w:rFonts w:ascii="Bodoni MT" w:eastAsia="Times New Roman" w:hAnsi="Bodoni MT" w:cs="Times New Roman"/>
          <w:sz w:val="24"/>
          <w:szCs w:val="24"/>
          <w:lang w:eastAsia="it-IT"/>
        </w:rPr>
        <w:t xml:space="preserve">a decorrere dal 1º gennaio 2016 l'ammontare complessivo delle risorse destinate annualmente al </w:t>
      </w:r>
      <w:r w:rsidR="005B457B" w:rsidRPr="005B457B">
        <w:rPr>
          <w:rFonts w:ascii="Bodoni MT" w:eastAsia="Times New Roman" w:hAnsi="Bodoni MT" w:cs="Times New Roman"/>
          <w:sz w:val="24"/>
          <w:szCs w:val="24"/>
          <w:lang w:eastAsia="it-IT"/>
        </w:rPr>
        <w:lastRenderedPageBreak/>
        <w:t>trattamento accessorio del personale, anche di livello dirigenziale, di ciascuna delle amministrazioni pubbliche di cui all'articolo 1, comma 2, del decreto legislativo 30 marzo 2001, n. 165, e successive modificazioni, non può superare il corrispondente importo determinato per l'anno 2015 ed è, comunque, automaticamente ridotto in misura proporzionale alla riduzione del personale in servizio, tenendo conto del personale assumibile ai sensi della normativa vigente</w:t>
      </w:r>
      <w:r w:rsidR="005B457B">
        <w:rPr>
          <w:rFonts w:ascii="Bodoni MT" w:eastAsia="Times New Roman" w:hAnsi="Bodoni MT" w:cs="Times New Roman"/>
          <w:sz w:val="24"/>
          <w:szCs w:val="24"/>
          <w:lang w:eastAsia="it-IT"/>
        </w:rPr>
        <w:t>”</w:t>
      </w:r>
      <w:r w:rsidR="005B457B" w:rsidRPr="005B457B">
        <w:rPr>
          <w:rFonts w:ascii="Bodoni MT" w:eastAsia="Times New Roman" w:hAnsi="Bodoni MT" w:cs="Times New Roman"/>
          <w:sz w:val="24"/>
          <w:szCs w:val="24"/>
          <w:lang w:eastAsia="it-IT"/>
        </w:rPr>
        <w:t>.</w:t>
      </w:r>
    </w:p>
    <w:p w:rsidR="005B457B" w:rsidRDefault="005B457B" w:rsidP="007F6B35">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La norma riproduce il contenuto dell’art. 9, comma 2-bis, d.l. n. 78/2010, conv. dalla l. n. 122/2010, in vigore fino al 31 dicembre 2014, modificando i soli riferimenti temporali (non più come base di riferimento il 2010 ma il 2015), ma non mutando la sostanza e la </w:t>
      </w:r>
      <w:r w:rsidRPr="005B457B">
        <w:rPr>
          <w:rFonts w:ascii="Bodoni MT" w:eastAsia="Times New Roman" w:hAnsi="Bodoni MT" w:cs="Times New Roman"/>
          <w:i/>
          <w:sz w:val="24"/>
          <w:szCs w:val="24"/>
          <w:lang w:eastAsia="it-IT"/>
        </w:rPr>
        <w:t>ratio</w:t>
      </w:r>
      <w:r>
        <w:rPr>
          <w:rFonts w:ascii="Bodoni MT" w:eastAsia="Times New Roman" w:hAnsi="Bodoni MT" w:cs="Times New Roman"/>
          <w:i/>
          <w:sz w:val="24"/>
          <w:szCs w:val="24"/>
          <w:lang w:eastAsia="it-IT"/>
        </w:rPr>
        <w:t xml:space="preserve"> </w:t>
      </w:r>
      <w:r>
        <w:rPr>
          <w:rFonts w:ascii="Bodoni MT" w:eastAsia="Times New Roman" w:hAnsi="Bodoni MT" w:cs="Times New Roman"/>
          <w:sz w:val="24"/>
          <w:szCs w:val="24"/>
          <w:lang w:eastAsia="it-IT"/>
        </w:rPr>
        <w:t xml:space="preserve">della disposizione. Tale </w:t>
      </w:r>
      <w:r w:rsidRPr="005B457B">
        <w:rPr>
          <w:rFonts w:ascii="Bodoni MT" w:eastAsia="Times New Roman" w:hAnsi="Bodoni MT" w:cs="Times New Roman"/>
          <w:i/>
          <w:sz w:val="24"/>
          <w:szCs w:val="24"/>
          <w:lang w:eastAsia="it-IT"/>
        </w:rPr>
        <w:t>ratio</w:t>
      </w:r>
      <w:r>
        <w:rPr>
          <w:rFonts w:ascii="Bodoni MT" w:eastAsia="Times New Roman" w:hAnsi="Bodoni MT" w:cs="Times New Roman"/>
          <w:sz w:val="24"/>
          <w:szCs w:val="24"/>
          <w:lang w:eastAsia="it-IT"/>
        </w:rPr>
        <w:t xml:space="preserve"> è stata individuata dalle SS.RR.</w:t>
      </w:r>
      <w:r w:rsidR="00EB3775">
        <w:rPr>
          <w:rFonts w:ascii="Bodoni MT" w:eastAsia="Times New Roman" w:hAnsi="Bodoni MT" w:cs="Times New Roman"/>
          <w:sz w:val="24"/>
          <w:szCs w:val="24"/>
          <w:lang w:eastAsia="it-IT"/>
        </w:rPr>
        <w:t xml:space="preserve"> della Corte dei conti</w:t>
      </w:r>
      <w:r>
        <w:rPr>
          <w:rFonts w:ascii="Bodoni MT" w:eastAsia="Times New Roman" w:hAnsi="Bodoni MT" w:cs="Times New Roman"/>
          <w:sz w:val="24"/>
          <w:szCs w:val="24"/>
          <w:lang w:eastAsia="it-IT"/>
        </w:rPr>
        <w:t xml:space="preserve"> (deliberazione n. 51/2011 resa in funzione nomofilattica)</w:t>
      </w:r>
      <w:r w:rsidRPr="005B457B">
        <w:t xml:space="preserve"> </w:t>
      </w:r>
      <w:r w:rsidRPr="005B457B">
        <w:rPr>
          <w:rFonts w:ascii="Bodoni MT" w:eastAsia="Times New Roman" w:hAnsi="Bodoni MT" w:cs="Times New Roman"/>
          <w:sz w:val="24"/>
          <w:szCs w:val="24"/>
          <w:lang w:eastAsia="it-IT"/>
        </w:rPr>
        <w:t xml:space="preserve">nella volontà </w:t>
      </w:r>
      <w:r w:rsidRPr="005B457B">
        <w:rPr>
          <w:rFonts w:ascii="Bodoni MT" w:eastAsia="Times New Roman" w:hAnsi="Bodoni MT" w:cs="Times New Roman"/>
          <w:sz w:val="24"/>
          <w:szCs w:val="24"/>
          <w:lang w:eastAsia="it-IT"/>
        </w:rPr>
        <w:lastRenderedPageBreak/>
        <w:t xml:space="preserve">di “cristallizzare </w:t>
      </w:r>
      <w:r w:rsidR="00EB3775">
        <w:rPr>
          <w:rFonts w:ascii="Bodoni MT" w:eastAsia="Times New Roman" w:hAnsi="Bodoni MT" w:cs="Times New Roman"/>
          <w:sz w:val="24"/>
          <w:szCs w:val="24"/>
          <w:lang w:eastAsia="it-IT"/>
        </w:rPr>
        <w:t>(</w:t>
      </w:r>
      <w:r w:rsidRPr="005B457B">
        <w:rPr>
          <w:rFonts w:ascii="Bodoni MT" w:eastAsia="Times New Roman" w:hAnsi="Bodoni MT" w:cs="Times New Roman"/>
          <w:sz w:val="24"/>
          <w:szCs w:val="24"/>
          <w:lang w:eastAsia="it-IT"/>
        </w:rPr>
        <w:t>al 2010</w:t>
      </w:r>
      <w:r w:rsidR="00EB3775">
        <w:rPr>
          <w:rFonts w:ascii="Bodoni MT" w:eastAsia="Times New Roman" w:hAnsi="Bodoni MT" w:cs="Times New Roman"/>
          <w:sz w:val="24"/>
          <w:szCs w:val="24"/>
          <w:lang w:eastAsia="it-IT"/>
        </w:rPr>
        <w:t>)</w:t>
      </w:r>
      <w:r w:rsidRPr="005B457B">
        <w:rPr>
          <w:rFonts w:ascii="Bodoni MT" w:eastAsia="Times New Roman" w:hAnsi="Bodoni MT" w:cs="Times New Roman"/>
          <w:sz w:val="24"/>
          <w:szCs w:val="24"/>
          <w:lang w:eastAsia="it-IT"/>
        </w:rPr>
        <w:t xml:space="preserve"> il tetto di spesa relativo all’ammontare complessivo delle risorse presenti nei fondi unici che dovrebbero tendenzialmente essere destinate al trattamento accessorio del personale…”, trattandosi di norma di stretta interpretazione “…volta a rafforzare il limite posto alla crescita della spesa di personale che prescinde da ogni considerazione relativa alla provenienza delle risorse…”. In sostanza, ha concluso il Collegio, “…la regola generale voluta dal legislatore è quella di porre un limite alla crescita dei fondi della contrattazione integrativa destinati alla generalità dei dipendenti dell’ente pubblico”</w:t>
      </w:r>
      <w:r w:rsidR="00EB3775">
        <w:rPr>
          <w:rFonts w:ascii="Bodoni MT" w:eastAsia="Times New Roman" w:hAnsi="Bodoni MT" w:cs="Times New Roman"/>
          <w:sz w:val="24"/>
          <w:szCs w:val="24"/>
          <w:lang w:eastAsia="it-IT"/>
        </w:rPr>
        <w:t xml:space="preserve"> poiché considerati</w:t>
      </w:r>
      <w:r w:rsidR="00EB3775" w:rsidRPr="00EB3775">
        <w:t xml:space="preserve"> </w:t>
      </w:r>
      <w:r w:rsidR="00EB3775">
        <w:t>la “</w:t>
      </w:r>
      <w:r w:rsidR="00EB3775" w:rsidRPr="00EB3775">
        <w:rPr>
          <w:rFonts w:ascii="Bodoni MT" w:eastAsia="Times New Roman" w:hAnsi="Bodoni MT" w:cs="Times New Roman"/>
          <w:sz w:val="24"/>
          <w:szCs w:val="24"/>
          <w:lang w:eastAsia="it-IT"/>
        </w:rPr>
        <w:t>principale causa dell’andamento incontrollato e disordinato della spesa di personale e della crescita retributiva complessiva</w:t>
      </w:r>
      <w:r w:rsidR="00EB3775">
        <w:rPr>
          <w:rFonts w:ascii="Bodoni MT" w:eastAsia="Times New Roman" w:hAnsi="Bodoni MT" w:cs="Times New Roman"/>
          <w:sz w:val="24"/>
          <w:szCs w:val="24"/>
          <w:lang w:eastAsia="it-IT"/>
        </w:rPr>
        <w:t>”</w:t>
      </w:r>
      <w:r w:rsidRPr="005B457B">
        <w:rPr>
          <w:rFonts w:ascii="Bodoni MT" w:eastAsia="Times New Roman" w:hAnsi="Bodoni MT" w:cs="Times New Roman"/>
          <w:sz w:val="24"/>
          <w:szCs w:val="24"/>
          <w:lang w:eastAsia="it-IT"/>
        </w:rPr>
        <w:t>.</w:t>
      </w:r>
    </w:p>
    <w:p w:rsidR="00EB3775" w:rsidRDefault="00EB3775" w:rsidP="007F6B35">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La Sezione delle autonomie, sul punto, ha precisato inoltre che il congelamento dei fondi ha una duplice funzione:</w:t>
      </w:r>
      <w:r w:rsidRPr="00EB3775">
        <w:t xml:space="preserve"> </w:t>
      </w:r>
      <w:r w:rsidRPr="00EB3775">
        <w:rPr>
          <w:rFonts w:ascii="Bodoni MT" w:eastAsia="Times New Roman" w:hAnsi="Bodoni MT" w:cs="Times New Roman"/>
          <w:sz w:val="24"/>
          <w:szCs w:val="24"/>
          <w:lang w:eastAsia="it-IT"/>
        </w:rPr>
        <w:t>da un lato, contenere la dinamica retributiva del personale; dall’altro, calmierare qualunque incremento dei fondi unici che non sia diretto a remunerare incarichi resi in via straordinaria o, comunque, affidati singolarmente a specifici dipendenti.</w:t>
      </w:r>
      <w:r>
        <w:rPr>
          <w:rFonts w:ascii="Bodoni MT" w:eastAsia="Times New Roman" w:hAnsi="Bodoni MT" w:cs="Times New Roman"/>
          <w:sz w:val="24"/>
          <w:szCs w:val="24"/>
          <w:lang w:eastAsia="it-IT"/>
        </w:rPr>
        <w:t xml:space="preserve"> Ciò ha giustificato</w:t>
      </w:r>
      <w:r w:rsidR="00010AF4">
        <w:rPr>
          <w:rFonts w:ascii="Bodoni MT" w:eastAsia="Times New Roman" w:hAnsi="Bodoni MT" w:cs="Times New Roman"/>
          <w:sz w:val="24"/>
          <w:szCs w:val="24"/>
          <w:lang w:eastAsia="it-IT"/>
        </w:rPr>
        <w:t xml:space="preserve"> </w:t>
      </w:r>
      <w:r w:rsidR="00010AF4" w:rsidRPr="00010AF4">
        <w:rPr>
          <w:rFonts w:ascii="Bodoni MT" w:eastAsia="Times New Roman" w:hAnsi="Bodoni MT" w:cs="Times New Roman"/>
          <w:sz w:val="24"/>
          <w:szCs w:val="24"/>
          <w:lang w:eastAsia="it-IT"/>
        </w:rPr>
        <w:t>(deliberazione n. 3/2013</w:t>
      </w:r>
      <w:r w:rsidR="00010AF4">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w:t>
      </w:r>
      <w:r w:rsidRPr="00EB3775">
        <w:rPr>
          <w:rFonts w:ascii="Bodoni MT" w:eastAsia="Times New Roman" w:hAnsi="Bodoni MT" w:cs="Times New Roman"/>
          <w:sz w:val="24"/>
          <w:szCs w:val="24"/>
          <w:lang w:eastAsia="it-IT"/>
        </w:rPr>
        <w:t xml:space="preserve">la </w:t>
      </w:r>
      <w:r>
        <w:rPr>
          <w:rFonts w:ascii="Bodoni MT" w:eastAsia="Times New Roman" w:hAnsi="Bodoni MT" w:cs="Times New Roman"/>
          <w:sz w:val="24"/>
          <w:szCs w:val="24"/>
          <w:lang w:eastAsia="it-IT"/>
        </w:rPr>
        <w:t xml:space="preserve">facoltà </w:t>
      </w:r>
      <w:r w:rsidRPr="00EB3775">
        <w:rPr>
          <w:rFonts w:ascii="Bodoni MT" w:eastAsia="Times New Roman" w:hAnsi="Bodoni MT" w:cs="Times New Roman"/>
          <w:sz w:val="24"/>
          <w:szCs w:val="24"/>
          <w:lang w:eastAsia="it-IT"/>
        </w:rPr>
        <w:t xml:space="preserve">di integrare le risorse finanziarie variabili destinate alla contrattazione decentrata integrativa in deroga al tetto di spesa </w:t>
      </w:r>
      <w:r>
        <w:rPr>
          <w:rFonts w:ascii="Bodoni MT" w:eastAsia="Times New Roman" w:hAnsi="Bodoni MT" w:cs="Times New Roman"/>
          <w:sz w:val="24"/>
          <w:szCs w:val="24"/>
          <w:lang w:eastAsia="it-IT"/>
        </w:rPr>
        <w:t>n</w:t>
      </w:r>
      <w:r w:rsidR="00010AF4">
        <w:rPr>
          <w:rFonts w:ascii="Bodoni MT" w:eastAsia="Times New Roman" w:hAnsi="Bodoni MT" w:cs="Times New Roman"/>
          <w:sz w:val="24"/>
          <w:szCs w:val="24"/>
          <w:lang w:eastAsia="it-IT"/>
        </w:rPr>
        <w:t>elle ipotesi</w:t>
      </w:r>
      <w:r w:rsidRPr="00EB3775">
        <w:rPr>
          <w:rFonts w:ascii="Bodoni MT" w:eastAsia="Times New Roman" w:hAnsi="Bodoni MT" w:cs="Times New Roman"/>
          <w:sz w:val="24"/>
          <w:szCs w:val="24"/>
          <w:lang w:eastAsia="it-IT"/>
        </w:rPr>
        <w:t xml:space="preserve"> al conseguimento di effettive economie di spesa </w:t>
      </w:r>
      <w:r w:rsidR="00010AF4">
        <w:rPr>
          <w:rFonts w:ascii="Bodoni MT" w:eastAsia="Times New Roman" w:hAnsi="Bodoni MT" w:cs="Times New Roman"/>
          <w:sz w:val="24"/>
          <w:szCs w:val="24"/>
          <w:lang w:eastAsia="it-IT"/>
        </w:rPr>
        <w:t>(</w:t>
      </w:r>
      <w:r w:rsidRPr="00EB3775">
        <w:rPr>
          <w:rFonts w:ascii="Bodoni MT" w:eastAsia="Times New Roman" w:hAnsi="Bodoni MT" w:cs="Times New Roman"/>
          <w:sz w:val="24"/>
          <w:szCs w:val="24"/>
          <w:lang w:eastAsia="it-IT"/>
        </w:rPr>
        <w:t>risultanti dai processi di attuazione dei Piani triennali di razionalizzazione e riqualificazione della spesa di cui ai commi 4 e 5 dell’art. 16 del d.l. 6 luglio 2011, n. 98, convertito, con modificazioni, in l. 15 luglio 2011, n. 111</w:t>
      </w:r>
      <w:r w:rsidR="00010AF4">
        <w:rPr>
          <w:rFonts w:ascii="Bodoni MT" w:eastAsia="Times New Roman" w:hAnsi="Bodoni MT" w:cs="Times New Roman"/>
          <w:sz w:val="24"/>
          <w:szCs w:val="24"/>
          <w:lang w:eastAsia="it-IT"/>
        </w:rPr>
        <w:t>) o comunque a ritenere valido il principio per il quale “</w:t>
      </w:r>
      <w:r w:rsidR="00010AF4" w:rsidRPr="00010AF4">
        <w:rPr>
          <w:rFonts w:ascii="Bodoni MT" w:eastAsia="Times New Roman" w:hAnsi="Bodoni MT" w:cs="Times New Roman"/>
          <w:sz w:val="24"/>
          <w:szCs w:val="24"/>
          <w:lang w:eastAsia="it-IT"/>
        </w:rPr>
        <w:t xml:space="preserve">la sola deroga compatibile con lo spirito del divieto </w:t>
      </w:r>
      <w:r w:rsidR="00010AF4">
        <w:rPr>
          <w:rFonts w:ascii="Bodoni MT" w:eastAsia="Times New Roman" w:hAnsi="Bodoni MT" w:cs="Times New Roman"/>
          <w:sz w:val="24"/>
          <w:szCs w:val="24"/>
          <w:lang w:eastAsia="it-IT"/>
        </w:rPr>
        <w:t>(</w:t>
      </w:r>
      <w:r w:rsidR="00010AF4" w:rsidRPr="00010AF4">
        <w:rPr>
          <w:rFonts w:ascii="Bodoni MT" w:eastAsia="Times New Roman" w:hAnsi="Bodoni MT" w:cs="Times New Roman"/>
          <w:sz w:val="24"/>
          <w:szCs w:val="24"/>
          <w:lang w:eastAsia="it-IT"/>
        </w:rPr>
        <w:t xml:space="preserve">di cui all’art. </w:t>
      </w:r>
      <w:r w:rsidR="00010AF4" w:rsidRPr="00010AF4">
        <w:rPr>
          <w:rFonts w:ascii="Bodoni MT" w:eastAsia="Times New Roman" w:hAnsi="Bodoni MT" w:cs="Times New Roman"/>
          <w:sz w:val="24"/>
          <w:szCs w:val="24"/>
          <w:lang w:eastAsia="it-IT"/>
        </w:rPr>
        <w:lastRenderedPageBreak/>
        <w:t>9, comma 2-bis</w:t>
      </w:r>
      <w:r w:rsidR="00010AF4">
        <w:rPr>
          <w:rFonts w:ascii="Bodoni MT" w:eastAsia="Times New Roman" w:hAnsi="Bodoni MT" w:cs="Times New Roman"/>
          <w:sz w:val="24"/>
          <w:szCs w:val="24"/>
          <w:lang w:eastAsia="it-IT"/>
        </w:rPr>
        <w:t>)</w:t>
      </w:r>
      <w:r w:rsidR="00010AF4" w:rsidRPr="00010AF4">
        <w:rPr>
          <w:rFonts w:ascii="Bodoni MT" w:eastAsia="Times New Roman" w:hAnsi="Bodoni MT" w:cs="Times New Roman"/>
          <w:sz w:val="24"/>
          <w:szCs w:val="24"/>
          <w:lang w:eastAsia="it-IT"/>
        </w:rPr>
        <w:t xml:space="preserve">, sarebbe, infatti, quella fondata su economie di bilancio che scaturissero direttamente da un più efficiente utilizzo del personale, ciò in quanto l’intenzione del legislatore di ridurre la spesa di personale ponendo un freno alle dinamiche del trattamento accessorio si contrappone al </w:t>
      </w:r>
      <w:r w:rsidR="00010AF4" w:rsidRPr="00010AF4">
        <w:rPr>
          <w:rFonts w:ascii="Bodoni MT" w:eastAsia="Times New Roman" w:hAnsi="Bodoni MT" w:cs="Times New Roman"/>
          <w:i/>
          <w:sz w:val="24"/>
          <w:szCs w:val="24"/>
          <w:lang w:eastAsia="it-IT"/>
        </w:rPr>
        <w:t>favor</w:t>
      </w:r>
      <w:r w:rsidR="00010AF4" w:rsidRPr="00010AF4">
        <w:rPr>
          <w:rFonts w:ascii="Bodoni MT" w:eastAsia="Times New Roman" w:hAnsi="Bodoni MT" w:cs="Times New Roman"/>
          <w:sz w:val="24"/>
          <w:szCs w:val="24"/>
          <w:lang w:eastAsia="it-IT"/>
        </w:rPr>
        <w:t xml:space="preserve"> dello stesso verso politiche di sviluppo della produttività individuale del personale</w:t>
      </w:r>
      <w:r w:rsidR="00010AF4">
        <w:rPr>
          <w:rFonts w:ascii="Bodoni MT" w:eastAsia="Times New Roman" w:hAnsi="Bodoni MT" w:cs="Times New Roman"/>
          <w:sz w:val="24"/>
          <w:szCs w:val="24"/>
          <w:lang w:eastAsia="it-IT"/>
        </w:rPr>
        <w:t>” (Sezione delle autonomie, deliberazione n. 26/2014).</w:t>
      </w:r>
    </w:p>
    <w:p w:rsidR="002B52BF" w:rsidRPr="005B457B" w:rsidRDefault="002B52BF" w:rsidP="007F6B35">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In conclusione, nell’</w:t>
      </w:r>
      <w:r w:rsidR="000C4776">
        <w:rPr>
          <w:rFonts w:ascii="Bodoni MT" w:eastAsia="Times New Roman" w:hAnsi="Bodoni MT" w:cs="Times New Roman"/>
          <w:sz w:val="24"/>
          <w:szCs w:val="24"/>
          <w:lang w:eastAsia="it-IT"/>
        </w:rPr>
        <w:t>ipotesi all’esame, lasciando inalterato il limite complessivo della spesa destinata al trattamento accessorio da parte di entrambi gli enti, l’incremento del trattamento accessorio dell’ente richiedente è possibile nella misura in cui si realizzino economie di bilancio derivanti da un utilizzo del personale più efficiente.</w:t>
      </w:r>
    </w:p>
    <w:p w:rsidR="002645B5" w:rsidRDefault="002645B5" w:rsidP="002645B5">
      <w:pPr>
        <w:spacing w:before="0" w:after="0"/>
        <w:ind w:firstLine="284"/>
        <w:rPr>
          <w:rFonts w:ascii="Bodoni MT" w:eastAsia="Times New Roman" w:hAnsi="Bodoni MT" w:cs="Times New Roman"/>
          <w:sz w:val="24"/>
          <w:szCs w:val="24"/>
          <w:lang w:eastAsia="it-IT"/>
        </w:rPr>
      </w:pPr>
    </w:p>
    <w:p w:rsidR="00CA74EB" w:rsidRPr="00426926" w:rsidRDefault="00CA74EB" w:rsidP="00EB0842">
      <w:pPr>
        <w:spacing w:before="120" w:after="120"/>
        <w:ind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lastRenderedPageBreak/>
        <w:t>* * *</w:t>
      </w:r>
    </w:p>
    <w:p w:rsidR="00CA74EB" w:rsidRPr="00426926" w:rsidRDefault="00CA74EB" w:rsidP="00CA74EB">
      <w:pPr>
        <w:spacing w:before="0" w:after="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Nelle sopra esposte considerazioni è il parere della Corte dei conti - Sezione regionale di controllo per la Toscana, in relazione alla richiesta formulata dal </w:t>
      </w:r>
      <w:r>
        <w:rPr>
          <w:rFonts w:ascii="Bodoni MT" w:eastAsia="Times New Roman" w:hAnsi="Bodoni MT" w:cs="Times New Roman"/>
          <w:sz w:val="24"/>
          <w:szCs w:val="24"/>
          <w:lang w:eastAsia="it-IT"/>
        </w:rPr>
        <w:t xml:space="preserve">comune di </w:t>
      </w:r>
      <w:r w:rsidR="007F6B35">
        <w:rPr>
          <w:rFonts w:ascii="Bodoni MT" w:eastAsia="Times New Roman" w:hAnsi="Bodoni MT" w:cs="Times New Roman"/>
          <w:sz w:val="24"/>
          <w:szCs w:val="24"/>
          <w:lang w:eastAsia="it-IT"/>
        </w:rPr>
        <w:t>Uzzano</w:t>
      </w:r>
      <w:r w:rsidR="005C76E4">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ed</w:t>
      </w:r>
      <w:r w:rsidRPr="00542E60">
        <w:t xml:space="preserve"> </w:t>
      </w:r>
      <w:r w:rsidRPr="00542E60">
        <w:rPr>
          <w:rFonts w:ascii="Bodoni MT" w:eastAsia="Times New Roman" w:hAnsi="Bodoni MT" w:cs="Times New Roman"/>
          <w:sz w:val="24"/>
          <w:szCs w:val="24"/>
          <w:lang w:eastAsia="it-IT"/>
        </w:rPr>
        <w:t>inoltrata dal Consiglio delle autonomie locali con nota</w:t>
      </w:r>
      <w:r>
        <w:rPr>
          <w:rFonts w:ascii="Bodoni MT" w:eastAsia="Times New Roman" w:hAnsi="Bodoni MT" w:cs="Times New Roman"/>
          <w:sz w:val="24"/>
          <w:szCs w:val="24"/>
          <w:lang w:eastAsia="it-IT"/>
        </w:rPr>
        <w:t xml:space="preserve"> prot. n. </w:t>
      </w:r>
      <w:r w:rsidR="007F6B35">
        <w:rPr>
          <w:rFonts w:ascii="Bodoni MT" w:eastAsia="Times New Roman" w:hAnsi="Bodoni MT" w:cs="Times New Roman"/>
          <w:sz w:val="24"/>
          <w:szCs w:val="24"/>
          <w:lang w:eastAsia="it-IT"/>
        </w:rPr>
        <w:t>14007</w:t>
      </w:r>
      <w:r>
        <w:rPr>
          <w:rFonts w:ascii="Bodoni MT" w:eastAsia="Times New Roman" w:hAnsi="Bodoni MT" w:cs="Times New Roman"/>
          <w:sz w:val="24"/>
          <w:szCs w:val="24"/>
          <w:lang w:eastAsia="it-IT"/>
        </w:rPr>
        <w:t>/1.13.9</w:t>
      </w:r>
      <w:r w:rsidR="007F6B35">
        <w:rPr>
          <w:rFonts w:ascii="Bodoni MT" w:eastAsia="Times New Roman" w:hAnsi="Bodoni MT" w:cs="Times New Roman"/>
          <w:sz w:val="24"/>
          <w:szCs w:val="24"/>
          <w:lang w:eastAsia="it-IT"/>
        </w:rPr>
        <w:t>, pervenuta in data 31 maggio 2016</w:t>
      </w:r>
      <w:r>
        <w:rPr>
          <w:rFonts w:ascii="Bodoni MT" w:eastAsia="Times New Roman" w:hAnsi="Bodoni MT" w:cs="Times New Roman"/>
          <w:sz w:val="24"/>
          <w:szCs w:val="24"/>
          <w:lang w:eastAsia="it-IT"/>
        </w:rPr>
        <w:t>.</w:t>
      </w:r>
    </w:p>
    <w:p w:rsidR="00CA74EB" w:rsidRPr="00426926" w:rsidRDefault="00CA74EB" w:rsidP="00CA74EB">
      <w:pPr>
        <w:spacing w:before="0" w:after="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Copia della presente deliberazione è trasmessa al </w:t>
      </w:r>
      <w:r w:rsidRPr="00404B5E">
        <w:rPr>
          <w:rFonts w:ascii="Bodoni MT" w:eastAsia="Times New Roman" w:hAnsi="Bodoni MT" w:cs="Times New Roman"/>
          <w:sz w:val="24"/>
          <w:szCs w:val="24"/>
          <w:lang w:eastAsia="it-IT"/>
        </w:rPr>
        <w:t xml:space="preserve">Presidente del Consiglio delle autonomie locali della Regione Toscana, e, per conoscenza, al Sindaco del comune di </w:t>
      </w:r>
      <w:r w:rsidR="007F6B35">
        <w:rPr>
          <w:rFonts w:ascii="Bodoni MT" w:eastAsia="Times New Roman" w:hAnsi="Bodoni MT" w:cs="Times New Roman"/>
          <w:sz w:val="24"/>
          <w:szCs w:val="24"/>
          <w:lang w:eastAsia="it-IT"/>
        </w:rPr>
        <w:t>Uzzano</w:t>
      </w:r>
      <w:r w:rsidR="005C76E4">
        <w:rPr>
          <w:rFonts w:ascii="Bodoni MT" w:eastAsia="Times New Roman" w:hAnsi="Bodoni MT" w:cs="Times New Roman"/>
          <w:sz w:val="24"/>
          <w:szCs w:val="24"/>
          <w:lang w:eastAsia="it-IT"/>
        </w:rPr>
        <w:t xml:space="preserve"> </w:t>
      </w:r>
      <w:r w:rsidRPr="00404B5E">
        <w:rPr>
          <w:rFonts w:ascii="Bodoni MT" w:eastAsia="Times New Roman" w:hAnsi="Bodoni MT" w:cs="Times New Roman"/>
          <w:sz w:val="24"/>
          <w:szCs w:val="24"/>
          <w:lang w:eastAsia="it-IT"/>
        </w:rPr>
        <w:t>e</w:t>
      </w:r>
      <w:r w:rsidR="00BE0826">
        <w:rPr>
          <w:rFonts w:ascii="Bodoni MT" w:eastAsia="Times New Roman" w:hAnsi="Bodoni MT" w:cs="Times New Roman"/>
          <w:sz w:val="24"/>
          <w:szCs w:val="24"/>
          <w:lang w:eastAsia="it-IT"/>
        </w:rPr>
        <w:t>d</w:t>
      </w:r>
      <w:r w:rsidRPr="00404B5E">
        <w:rPr>
          <w:rFonts w:ascii="Bodoni MT" w:eastAsia="Times New Roman" w:hAnsi="Bodoni MT" w:cs="Times New Roman"/>
          <w:sz w:val="24"/>
          <w:szCs w:val="24"/>
          <w:lang w:eastAsia="it-IT"/>
        </w:rPr>
        <w:t xml:space="preserve"> al Presidente del relativo Consiglio</w:t>
      </w:r>
      <w:r>
        <w:rPr>
          <w:rFonts w:ascii="Bodoni MT" w:eastAsia="Times New Roman" w:hAnsi="Bodoni MT" w:cs="Times New Roman"/>
          <w:sz w:val="24"/>
          <w:szCs w:val="24"/>
          <w:lang w:eastAsia="it-IT"/>
        </w:rPr>
        <w:t>.</w:t>
      </w:r>
    </w:p>
    <w:p w:rsidR="00CA74EB" w:rsidRPr="00426926" w:rsidRDefault="00CA74EB" w:rsidP="00FC6EA4">
      <w:pPr>
        <w:spacing w:before="120" w:after="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Firenze, </w:t>
      </w:r>
      <w:r w:rsidR="00BB24D9">
        <w:rPr>
          <w:rFonts w:ascii="Bodoni MT" w:eastAsia="Times New Roman" w:hAnsi="Bodoni MT" w:cs="Times New Roman"/>
          <w:sz w:val="24"/>
          <w:szCs w:val="24"/>
          <w:lang w:eastAsia="it-IT"/>
        </w:rPr>
        <w:t>6 settembre 2016</w:t>
      </w:r>
    </w:p>
    <w:p w:rsidR="00CA74EB" w:rsidRPr="00426926" w:rsidRDefault="00CA74EB" w:rsidP="00E21C65">
      <w:pPr>
        <w:spacing w:before="0" w:after="0" w:line="240" w:lineRule="auto"/>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L</w:t>
      </w:r>
      <w:r w:rsidR="00EB0842">
        <w:rPr>
          <w:rFonts w:ascii="Bodoni MT" w:eastAsia="Times New Roman" w:hAnsi="Bodoni MT" w:cs="Times New Roman"/>
          <w:sz w:val="24"/>
          <w:szCs w:val="24"/>
          <w:lang w:eastAsia="it-IT"/>
        </w:rPr>
        <w:t>’estensore</w:t>
      </w:r>
      <w:r w:rsidR="00EB0842">
        <w:rPr>
          <w:rFonts w:ascii="Bodoni MT" w:eastAsia="Times New Roman" w:hAnsi="Bodoni MT" w:cs="Times New Roman"/>
          <w:sz w:val="24"/>
          <w:szCs w:val="24"/>
          <w:lang w:eastAsia="it-IT"/>
        </w:rPr>
        <w:tab/>
      </w:r>
      <w:r w:rsidR="00EB0842">
        <w:rPr>
          <w:rFonts w:ascii="Bodoni MT" w:eastAsia="Times New Roman" w:hAnsi="Bodoni MT" w:cs="Times New Roman"/>
          <w:sz w:val="24"/>
          <w:szCs w:val="24"/>
          <w:lang w:eastAsia="it-IT"/>
        </w:rPr>
        <w:tab/>
      </w:r>
      <w:r w:rsidR="00EB0842">
        <w:rPr>
          <w:rFonts w:ascii="Bodoni MT" w:eastAsia="Times New Roman" w:hAnsi="Bodoni MT" w:cs="Times New Roman"/>
          <w:sz w:val="24"/>
          <w:szCs w:val="24"/>
          <w:lang w:eastAsia="it-IT"/>
        </w:rPr>
        <w:tab/>
      </w:r>
      <w:r w:rsidR="00EB0842">
        <w:rPr>
          <w:rFonts w:ascii="Bodoni MT" w:eastAsia="Times New Roman" w:hAnsi="Bodoni MT" w:cs="Times New Roman"/>
          <w:sz w:val="24"/>
          <w:szCs w:val="24"/>
          <w:lang w:eastAsia="it-IT"/>
        </w:rPr>
        <w:tab/>
      </w:r>
      <w:r w:rsidR="00EB0842">
        <w:rPr>
          <w:rFonts w:ascii="Bodoni MT" w:eastAsia="Times New Roman" w:hAnsi="Bodoni MT" w:cs="Times New Roman"/>
          <w:sz w:val="24"/>
          <w:szCs w:val="24"/>
          <w:lang w:eastAsia="it-IT"/>
        </w:rPr>
        <w:tab/>
      </w:r>
      <w:r w:rsidR="00E21C65">
        <w:rPr>
          <w:rFonts w:ascii="Bodoni MT" w:eastAsia="Times New Roman" w:hAnsi="Bodoni MT" w:cs="Times New Roman"/>
          <w:sz w:val="24"/>
          <w:szCs w:val="24"/>
          <w:lang w:eastAsia="it-IT"/>
        </w:rPr>
        <w:tab/>
      </w:r>
      <w:r w:rsidR="00E21C65">
        <w:rPr>
          <w:rFonts w:ascii="Bodoni MT" w:eastAsia="Times New Roman" w:hAnsi="Bodoni MT" w:cs="Times New Roman"/>
          <w:sz w:val="24"/>
          <w:szCs w:val="24"/>
          <w:lang w:eastAsia="it-IT"/>
        </w:rPr>
        <w:tab/>
      </w:r>
      <w:r w:rsidR="00E21C65">
        <w:rPr>
          <w:rFonts w:ascii="Bodoni MT" w:eastAsia="Times New Roman" w:hAnsi="Bodoni MT" w:cs="Times New Roman"/>
          <w:sz w:val="24"/>
          <w:szCs w:val="24"/>
          <w:lang w:eastAsia="it-IT"/>
        </w:rPr>
        <w:tab/>
      </w:r>
      <w:r w:rsidR="00EB0842">
        <w:rPr>
          <w:rFonts w:ascii="Bodoni MT" w:eastAsia="Times New Roman" w:hAnsi="Bodoni MT" w:cs="Times New Roman"/>
          <w:sz w:val="24"/>
          <w:szCs w:val="24"/>
          <w:lang w:eastAsia="it-IT"/>
        </w:rPr>
        <w:t>Il presidente</w:t>
      </w:r>
    </w:p>
    <w:p w:rsidR="00CA74EB" w:rsidRPr="00426926" w:rsidRDefault="002B17D8" w:rsidP="00E21C65">
      <w:pPr>
        <w:spacing w:before="0" w:after="0"/>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f.to</w:t>
      </w:r>
      <w:r w:rsidR="00E21C65">
        <w:rPr>
          <w:rFonts w:ascii="Bodoni MT" w:eastAsia="Times New Roman" w:hAnsi="Bodoni MT" w:cs="Times New Roman"/>
          <w:sz w:val="24"/>
          <w:szCs w:val="24"/>
          <w:lang w:eastAsia="it-IT"/>
        </w:rPr>
        <w:t xml:space="preserve"> </w:t>
      </w:r>
      <w:r w:rsidR="00BB24D9">
        <w:rPr>
          <w:rFonts w:ascii="Bodoni MT" w:eastAsia="Times New Roman" w:hAnsi="Bodoni MT" w:cs="Times New Roman"/>
          <w:sz w:val="24"/>
          <w:szCs w:val="24"/>
          <w:lang w:eastAsia="it-IT"/>
        </w:rPr>
        <w:t>Paolo Peluffo</w:t>
      </w:r>
      <w:r w:rsidR="00073866">
        <w:rPr>
          <w:rFonts w:ascii="Bodoni MT" w:eastAsia="Times New Roman" w:hAnsi="Bodoni MT" w:cs="Times New Roman"/>
          <w:sz w:val="24"/>
          <w:szCs w:val="24"/>
          <w:lang w:eastAsia="it-IT"/>
        </w:rPr>
        <w:tab/>
      </w:r>
      <w:r w:rsidR="00073866">
        <w:rPr>
          <w:rFonts w:ascii="Bodoni MT" w:eastAsia="Times New Roman" w:hAnsi="Bodoni MT" w:cs="Times New Roman"/>
          <w:sz w:val="24"/>
          <w:szCs w:val="24"/>
          <w:lang w:eastAsia="it-IT"/>
        </w:rPr>
        <w:tab/>
        <w:t xml:space="preserve">       </w:t>
      </w:r>
      <w:r w:rsidR="00490F55">
        <w:rPr>
          <w:rFonts w:ascii="Bodoni MT" w:eastAsia="Times New Roman" w:hAnsi="Bodoni MT" w:cs="Times New Roman"/>
          <w:sz w:val="24"/>
          <w:szCs w:val="24"/>
          <w:lang w:eastAsia="it-IT"/>
        </w:rPr>
        <w:tab/>
      </w:r>
      <w:r w:rsidR="00490F55">
        <w:rPr>
          <w:rFonts w:ascii="Bodoni MT" w:eastAsia="Times New Roman" w:hAnsi="Bodoni MT" w:cs="Times New Roman"/>
          <w:sz w:val="24"/>
          <w:szCs w:val="24"/>
          <w:lang w:eastAsia="it-IT"/>
        </w:rPr>
        <w:tab/>
      </w:r>
      <w:r w:rsidR="00BB24D9">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f.to</w:t>
      </w:r>
      <w:r w:rsidR="00E21C65">
        <w:rPr>
          <w:rFonts w:ascii="Bodoni MT" w:eastAsia="Times New Roman" w:hAnsi="Bodoni MT" w:cs="Times New Roman"/>
          <w:sz w:val="24"/>
          <w:szCs w:val="24"/>
          <w:lang w:eastAsia="it-IT"/>
        </w:rPr>
        <w:t xml:space="preserve"> </w:t>
      </w:r>
      <w:r w:rsidR="00975DE6">
        <w:rPr>
          <w:rFonts w:ascii="Bodoni MT" w:eastAsia="Times New Roman" w:hAnsi="Bodoni MT" w:cs="Times New Roman"/>
          <w:sz w:val="24"/>
          <w:szCs w:val="24"/>
          <w:lang w:eastAsia="it-IT"/>
        </w:rPr>
        <w:t>Roberto Tabbita</w:t>
      </w:r>
    </w:p>
    <w:p w:rsidR="00CA74EB" w:rsidRDefault="00CA74EB" w:rsidP="00CA74EB">
      <w:pPr>
        <w:spacing w:before="0" w:after="0"/>
        <w:ind w:firstLine="284"/>
        <w:rPr>
          <w:rFonts w:ascii="Bodoni MT" w:eastAsia="Times New Roman" w:hAnsi="Bodoni MT" w:cs="Times New Roman"/>
          <w:sz w:val="24"/>
          <w:szCs w:val="24"/>
          <w:lang w:eastAsia="it-IT"/>
        </w:rPr>
      </w:pPr>
    </w:p>
    <w:p w:rsidR="0096645E" w:rsidRDefault="0096645E" w:rsidP="00CA74EB">
      <w:pPr>
        <w:spacing w:before="0" w:after="0"/>
        <w:ind w:firstLine="284"/>
        <w:rPr>
          <w:rFonts w:ascii="Bodoni MT" w:eastAsia="Times New Roman" w:hAnsi="Bodoni MT" w:cs="Times New Roman"/>
          <w:sz w:val="24"/>
          <w:szCs w:val="24"/>
          <w:lang w:eastAsia="it-IT"/>
        </w:rPr>
      </w:pPr>
    </w:p>
    <w:p w:rsidR="0096645E" w:rsidRDefault="0096645E" w:rsidP="00CA74EB">
      <w:pPr>
        <w:spacing w:before="0" w:after="0"/>
        <w:ind w:firstLine="284"/>
        <w:rPr>
          <w:rFonts w:ascii="Bodoni MT" w:eastAsia="Times New Roman" w:hAnsi="Bodoni MT" w:cs="Times New Roman"/>
          <w:sz w:val="24"/>
          <w:szCs w:val="24"/>
          <w:lang w:eastAsia="it-IT"/>
        </w:rPr>
      </w:pPr>
    </w:p>
    <w:p w:rsidR="00CA74EB" w:rsidRPr="00426926" w:rsidRDefault="00BB24D9" w:rsidP="00E21C65">
      <w:pPr>
        <w:spacing w:before="0" w:after="0"/>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Deposi</w:t>
      </w:r>
      <w:r w:rsidR="002B17D8">
        <w:rPr>
          <w:rFonts w:ascii="Bodoni MT" w:eastAsia="Times New Roman" w:hAnsi="Bodoni MT" w:cs="Times New Roman"/>
          <w:sz w:val="24"/>
          <w:szCs w:val="24"/>
          <w:lang w:eastAsia="it-IT"/>
        </w:rPr>
        <w:t>tata in Segreteria il 6 settembre 2016</w:t>
      </w:r>
    </w:p>
    <w:p w:rsidR="00CA74EB" w:rsidRPr="00426926" w:rsidRDefault="00CA74EB" w:rsidP="00E21C65">
      <w:pPr>
        <w:spacing w:before="0" w:after="0" w:line="240" w:lineRule="auto"/>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Il funzionario preposto al Servizio di supporto </w:t>
      </w:r>
    </w:p>
    <w:p w:rsidR="004D4348" w:rsidRDefault="00E21C65" w:rsidP="00BB09AC">
      <w:pPr>
        <w:spacing w:before="0" w:after="200" w:line="276" w:lineRule="auto"/>
        <w:ind w:firstLine="284"/>
        <w:jc w:val="left"/>
      </w:pPr>
      <w:r>
        <w:rPr>
          <w:rFonts w:ascii="Bodoni MT" w:eastAsia="Calibri" w:hAnsi="Bodoni MT" w:cs="Times New Roman"/>
          <w:sz w:val="24"/>
          <w:szCs w:val="24"/>
        </w:rPr>
        <w:t xml:space="preserve">                 </w:t>
      </w:r>
      <w:r w:rsidR="005904C0">
        <w:rPr>
          <w:rFonts w:ascii="Bodoni MT" w:eastAsia="Calibri" w:hAnsi="Bodoni MT" w:cs="Times New Roman"/>
          <w:sz w:val="24"/>
          <w:szCs w:val="24"/>
        </w:rPr>
        <w:t xml:space="preserve">   </w:t>
      </w:r>
      <w:r w:rsidR="002B17D8">
        <w:rPr>
          <w:rFonts w:ascii="Bodoni MT" w:eastAsia="Calibri" w:hAnsi="Bodoni MT" w:cs="Times New Roman"/>
          <w:sz w:val="24"/>
          <w:szCs w:val="24"/>
        </w:rPr>
        <w:t xml:space="preserve">f.to </w:t>
      </w:r>
      <w:r w:rsidR="005904C0">
        <w:rPr>
          <w:rFonts w:ascii="Bodoni MT" w:eastAsia="Calibri" w:hAnsi="Bodoni MT" w:cs="Times New Roman"/>
          <w:sz w:val="24"/>
          <w:szCs w:val="24"/>
        </w:rPr>
        <w:t>Claudio Felli</w:t>
      </w:r>
    </w:p>
    <w:sectPr w:rsidR="004D4348" w:rsidSect="004359C5">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15A" w:rsidRDefault="003C615A">
      <w:pPr>
        <w:spacing w:before="0" w:after="0" w:line="240" w:lineRule="auto"/>
      </w:pPr>
      <w:r>
        <w:separator/>
      </w:r>
    </w:p>
  </w:endnote>
  <w:endnote w:type="continuationSeparator" w:id="0">
    <w:p w:rsidR="003C615A" w:rsidRDefault="003C61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doni MT">
    <w:altName w:val="Sitka Small"/>
    <w:panose1 w:val="020706030806060202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020621"/>
      <w:docPartObj>
        <w:docPartGallery w:val="Page Numbers (Bottom of Page)"/>
        <w:docPartUnique/>
      </w:docPartObj>
    </w:sdtPr>
    <w:sdtEndPr>
      <w:rPr>
        <w:rFonts w:ascii="Bodoni MT" w:hAnsi="Bodoni MT"/>
        <w:sz w:val="20"/>
        <w:szCs w:val="20"/>
      </w:rPr>
    </w:sdtEndPr>
    <w:sdtContent>
      <w:p w:rsidR="004359C5" w:rsidRPr="003456D5" w:rsidRDefault="00131BDC">
        <w:pPr>
          <w:pStyle w:val="Pidipagina"/>
          <w:jc w:val="center"/>
          <w:rPr>
            <w:rFonts w:ascii="Bodoni MT" w:hAnsi="Bodoni MT"/>
            <w:sz w:val="20"/>
            <w:szCs w:val="20"/>
          </w:rPr>
        </w:pPr>
        <w:r w:rsidRPr="003456D5">
          <w:rPr>
            <w:rFonts w:ascii="Bodoni MT" w:hAnsi="Bodoni MT"/>
            <w:sz w:val="20"/>
            <w:szCs w:val="20"/>
          </w:rPr>
          <w:fldChar w:fldCharType="begin"/>
        </w:r>
        <w:r w:rsidRPr="003456D5">
          <w:rPr>
            <w:rFonts w:ascii="Bodoni MT" w:hAnsi="Bodoni MT"/>
            <w:sz w:val="20"/>
            <w:szCs w:val="20"/>
          </w:rPr>
          <w:instrText>PAGE   \* MERGEFORMAT</w:instrText>
        </w:r>
        <w:r w:rsidRPr="003456D5">
          <w:rPr>
            <w:rFonts w:ascii="Bodoni MT" w:hAnsi="Bodoni MT"/>
            <w:sz w:val="20"/>
            <w:szCs w:val="20"/>
          </w:rPr>
          <w:fldChar w:fldCharType="separate"/>
        </w:r>
        <w:r w:rsidR="000D4D9B">
          <w:rPr>
            <w:rFonts w:ascii="Bodoni MT" w:hAnsi="Bodoni MT"/>
            <w:noProof/>
            <w:sz w:val="20"/>
            <w:szCs w:val="20"/>
          </w:rPr>
          <w:t>1</w:t>
        </w:r>
        <w:r w:rsidRPr="003456D5">
          <w:rPr>
            <w:rFonts w:ascii="Bodoni MT" w:hAnsi="Bodoni MT"/>
            <w:sz w:val="20"/>
            <w:szCs w:val="20"/>
          </w:rPr>
          <w:fldChar w:fldCharType="end"/>
        </w:r>
      </w:p>
    </w:sdtContent>
  </w:sdt>
  <w:p w:rsidR="004359C5" w:rsidRDefault="003C615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15A" w:rsidRDefault="003C615A">
      <w:pPr>
        <w:spacing w:before="0" w:after="0" w:line="240" w:lineRule="auto"/>
      </w:pPr>
      <w:r>
        <w:separator/>
      </w:r>
    </w:p>
  </w:footnote>
  <w:footnote w:type="continuationSeparator" w:id="0">
    <w:p w:rsidR="003C615A" w:rsidRDefault="003C615A">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EB"/>
    <w:rsid w:val="00000070"/>
    <w:rsid w:val="000041D9"/>
    <w:rsid w:val="000073C2"/>
    <w:rsid w:val="00010276"/>
    <w:rsid w:val="00010AF4"/>
    <w:rsid w:val="00017F1D"/>
    <w:rsid w:val="00023D17"/>
    <w:rsid w:val="000358EE"/>
    <w:rsid w:val="00051BC1"/>
    <w:rsid w:val="00070B34"/>
    <w:rsid w:val="0007221A"/>
    <w:rsid w:val="00073866"/>
    <w:rsid w:val="00073EAB"/>
    <w:rsid w:val="000B1FC3"/>
    <w:rsid w:val="000C4776"/>
    <w:rsid w:val="000D4D9B"/>
    <w:rsid w:val="00126AE7"/>
    <w:rsid w:val="00131BDC"/>
    <w:rsid w:val="00137319"/>
    <w:rsid w:val="0014069B"/>
    <w:rsid w:val="001A51A1"/>
    <w:rsid w:val="001F2853"/>
    <w:rsid w:val="001F2984"/>
    <w:rsid w:val="002044F9"/>
    <w:rsid w:val="00243058"/>
    <w:rsid w:val="00250547"/>
    <w:rsid w:val="002645B5"/>
    <w:rsid w:val="002B17D8"/>
    <w:rsid w:val="002B52BF"/>
    <w:rsid w:val="002C4F94"/>
    <w:rsid w:val="00354C43"/>
    <w:rsid w:val="00390605"/>
    <w:rsid w:val="003B22AD"/>
    <w:rsid w:val="003C615A"/>
    <w:rsid w:val="003F5CC9"/>
    <w:rsid w:val="0045124E"/>
    <w:rsid w:val="004557D7"/>
    <w:rsid w:val="00460AA3"/>
    <w:rsid w:val="00490F55"/>
    <w:rsid w:val="00491F5D"/>
    <w:rsid w:val="004A6D03"/>
    <w:rsid w:val="004B42E1"/>
    <w:rsid w:val="004D2384"/>
    <w:rsid w:val="004D4348"/>
    <w:rsid w:val="004E178A"/>
    <w:rsid w:val="00512D28"/>
    <w:rsid w:val="005207FC"/>
    <w:rsid w:val="005619FB"/>
    <w:rsid w:val="00582BCE"/>
    <w:rsid w:val="005904C0"/>
    <w:rsid w:val="005A25C8"/>
    <w:rsid w:val="005A2D0D"/>
    <w:rsid w:val="005B2B1F"/>
    <w:rsid w:val="005B457B"/>
    <w:rsid w:val="005C49C4"/>
    <w:rsid w:val="005C76E4"/>
    <w:rsid w:val="006020EC"/>
    <w:rsid w:val="006033A6"/>
    <w:rsid w:val="0069358C"/>
    <w:rsid w:val="006A0FE0"/>
    <w:rsid w:val="006E7211"/>
    <w:rsid w:val="00706B26"/>
    <w:rsid w:val="007146EB"/>
    <w:rsid w:val="00733C05"/>
    <w:rsid w:val="00755E84"/>
    <w:rsid w:val="00777685"/>
    <w:rsid w:val="007B041D"/>
    <w:rsid w:val="007B5692"/>
    <w:rsid w:val="007D4197"/>
    <w:rsid w:val="007F64C0"/>
    <w:rsid w:val="007F6B35"/>
    <w:rsid w:val="00804E12"/>
    <w:rsid w:val="008118B4"/>
    <w:rsid w:val="0081392D"/>
    <w:rsid w:val="00816A59"/>
    <w:rsid w:val="00850814"/>
    <w:rsid w:val="008520EF"/>
    <w:rsid w:val="00876D4E"/>
    <w:rsid w:val="008A5B0D"/>
    <w:rsid w:val="008C5AE4"/>
    <w:rsid w:val="008C6367"/>
    <w:rsid w:val="008F065E"/>
    <w:rsid w:val="008F40CB"/>
    <w:rsid w:val="00907E76"/>
    <w:rsid w:val="00914C60"/>
    <w:rsid w:val="0096645E"/>
    <w:rsid w:val="00975DE6"/>
    <w:rsid w:val="00993A44"/>
    <w:rsid w:val="009B0861"/>
    <w:rsid w:val="009C1561"/>
    <w:rsid w:val="009C7372"/>
    <w:rsid w:val="009D63DB"/>
    <w:rsid w:val="009F46B2"/>
    <w:rsid w:val="00A141CA"/>
    <w:rsid w:val="00A170AF"/>
    <w:rsid w:val="00A327F9"/>
    <w:rsid w:val="00A364B1"/>
    <w:rsid w:val="00A40F69"/>
    <w:rsid w:val="00A42231"/>
    <w:rsid w:val="00A65645"/>
    <w:rsid w:val="00A874D0"/>
    <w:rsid w:val="00A952EA"/>
    <w:rsid w:val="00AA1FA6"/>
    <w:rsid w:val="00AC1B18"/>
    <w:rsid w:val="00AD7EEF"/>
    <w:rsid w:val="00AE05F5"/>
    <w:rsid w:val="00B25178"/>
    <w:rsid w:val="00B36B5D"/>
    <w:rsid w:val="00B73896"/>
    <w:rsid w:val="00B7686C"/>
    <w:rsid w:val="00B9109A"/>
    <w:rsid w:val="00BB09AC"/>
    <w:rsid w:val="00BB177B"/>
    <w:rsid w:val="00BB24D9"/>
    <w:rsid w:val="00BD75AF"/>
    <w:rsid w:val="00BE0826"/>
    <w:rsid w:val="00BE281F"/>
    <w:rsid w:val="00C027C1"/>
    <w:rsid w:val="00C361F9"/>
    <w:rsid w:val="00C4324E"/>
    <w:rsid w:val="00C470D6"/>
    <w:rsid w:val="00C76D90"/>
    <w:rsid w:val="00C83023"/>
    <w:rsid w:val="00CA74EB"/>
    <w:rsid w:val="00CB21B8"/>
    <w:rsid w:val="00CC03EC"/>
    <w:rsid w:val="00CC3790"/>
    <w:rsid w:val="00CD3E14"/>
    <w:rsid w:val="00D31D70"/>
    <w:rsid w:val="00D32A67"/>
    <w:rsid w:val="00D33060"/>
    <w:rsid w:val="00DB23BF"/>
    <w:rsid w:val="00DE47A8"/>
    <w:rsid w:val="00E16B4F"/>
    <w:rsid w:val="00E17D8E"/>
    <w:rsid w:val="00E20F51"/>
    <w:rsid w:val="00E21C65"/>
    <w:rsid w:val="00E242A6"/>
    <w:rsid w:val="00E24816"/>
    <w:rsid w:val="00E254C1"/>
    <w:rsid w:val="00E308E4"/>
    <w:rsid w:val="00E839F8"/>
    <w:rsid w:val="00E861FC"/>
    <w:rsid w:val="00E953C2"/>
    <w:rsid w:val="00EB0842"/>
    <w:rsid w:val="00EB3775"/>
    <w:rsid w:val="00F35091"/>
    <w:rsid w:val="00F65BAE"/>
    <w:rsid w:val="00F851B9"/>
    <w:rsid w:val="00FA4A44"/>
    <w:rsid w:val="00FB307F"/>
    <w:rsid w:val="00FB3C1B"/>
    <w:rsid w:val="00FC5749"/>
    <w:rsid w:val="00FC6E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7DCEB6B9-7163-4F0E-88C2-EF3609A5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before="120"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A74EB"/>
    <w:pPr>
      <w:spacing w:before="240" w:after="240"/>
    </w:pPr>
  </w:style>
  <w:style w:type="paragraph" w:styleId="Titolo1">
    <w:name w:val="heading 1"/>
    <w:basedOn w:val="Normale"/>
    <w:next w:val="Normale"/>
    <w:link w:val="Titolo1Carattere"/>
    <w:uiPriority w:val="9"/>
    <w:qFormat/>
    <w:rsid w:val="00CA74EB"/>
    <w:pPr>
      <w:keepNext/>
      <w:keepLines/>
      <w:spacing w:before="480" w:after="0"/>
      <w:outlineLvl w:val="0"/>
    </w:pPr>
    <w:rPr>
      <w:rFonts w:asciiTheme="majorHAnsi" w:eastAsiaTheme="majorEastAsia" w:hAnsiTheme="majorHAnsi" w:cstheme="majorBidi"/>
      <w:b/>
      <w:bCs/>
      <w:color w:val="000000"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74EB"/>
    <w:rPr>
      <w:rFonts w:asciiTheme="majorHAnsi" w:eastAsiaTheme="majorEastAsia" w:hAnsiTheme="majorHAnsi" w:cstheme="majorBidi"/>
      <w:b/>
      <w:bCs/>
      <w:color w:val="000000" w:themeColor="accent1" w:themeShade="BF"/>
      <w:sz w:val="28"/>
      <w:szCs w:val="28"/>
    </w:rPr>
  </w:style>
  <w:style w:type="paragraph" w:styleId="Pidipagina">
    <w:name w:val="footer"/>
    <w:basedOn w:val="Normale"/>
    <w:link w:val="PidipaginaCarattere"/>
    <w:uiPriority w:val="99"/>
    <w:unhideWhenUsed/>
    <w:rsid w:val="00CA74EB"/>
    <w:pPr>
      <w:tabs>
        <w:tab w:val="center" w:pos="4819"/>
        <w:tab w:val="right" w:pos="9638"/>
      </w:tabs>
      <w:spacing w:before="0" w:after="0" w:line="240" w:lineRule="auto"/>
      <w:jc w:val="left"/>
    </w:pPr>
  </w:style>
  <w:style w:type="character" w:customStyle="1" w:styleId="PidipaginaCarattere">
    <w:name w:val="Piè di pagina Carattere"/>
    <w:basedOn w:val="Carpredefinitoparagrafo"/>
    <w:link w:val="Pidipagina"/>
    <w:uiPriority w:val="99"/>
    <w:rsid w:val="00CA74EB"/>
  </w:style>
  <w:style w:type="paragraph" w:styleId="Intestazione">
    <w:name w:val="header"/>
    <w:basedOn w:val="Normale"/>
    <w:link w:val="IntestazioneCarattere"/>
    <w:uiPriority w:val="99"/>
    <w:unhideWhenUsed/>
    <w:rsid w:val="00CA74EB"/>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CA74EB"/>
  </w:style>
  <w:style w:type="paragraph" w:customStyle="1" w:styleId="xmsonormal">
    <w:name w:val="x_msonormal"/>
    <w:basedOn w:val="Normale"/>
    <w:rsid w:val="008A5B0D"/>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2645B5"/>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645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Personalizzato 1">
      <a:dk1>
        <a:sysClr val="windowText" lastClr="000000"/>
      </a:dk1>
      <a:lt1>
        <a:sysClr val="window" lastClr="FFFFFF"/>
      </a:lt1>
      <a:dk2>
        <a:srgbClr val="000000"/>
      </a:dk2>
      <a:lt2>
        <a:srgbClr val="F8F8F8"/>
      </a:lt2>
      <a:accent1>
        <a:srgbClr val="000000"/>
      </a:accent1>
      <a:accent2>
        <a:srgbClr val="000000"/>
      </a:accent2>
      <a:accent3>
        <a:srgbClr val="000000"/>
      </a:accent3>
      <a:accent4>
        <a:srgbClr val="000000"/>
      </a:accent4>
      <a:accent5>
        <a:srgbClr val="000000"/>
      </a:accent5>
      <a:accent6>
        <a:srgbClr val="4D4D4D"/>
      </a:accent6>
      <a:hlink>
        <a:srgbClr val="5F5F5F"/>
      </a:hlink>
      <a:folHlink>
        <a:srgbClr val="919191"/>
      </a:folHlink>
    </a:clrScheme>
    <a:fontScheme name="corte">
      <a:majorFont>
        <a:latin typeface="Bodoni MT"/>
        <a:ea typeface=""/>
        <a:cs typeface=""/>
      </a:majorFont>
      <a:minorFont>
        <a:latin typeface="Bodoni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1330</Words>
  <Characters>7582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Prudente Valentina</dc:creator>
  <cp:lastModifiedBy>Croppi Simona</cp:lastModifiedBy>
  <cp:revision>2</cp:revision>
  <cp:lastPrinted>2016-09-06T10:21:00Z</cp:lastPrinted>
  <dcterms:created xsi:type="dcterms:W3CDTF">2016-09-07T07:25:00Z</dcterms:created>
  <dcterms:modified xsi:type="dcterms:W3CDTF">2016-09-07T07:25:00Z</dcterms:modified>
</cp:coreProperties>
</file>