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08" w:rsidRPr="0001097C" w:rsidRDefault="00B32408" w:rsidP="00B32408">
      <w:pPr>
        <w:spacing w:after="0" w:line="360" w:lineRule="auto"/>
        <w:ind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BE0197">
        <w:rPr>
          <w:rFonts w:ascii="Bodoni MT" w:eastAsia="Times New Roman" w:hAnsi="Bodoni MT" w:cs="Times New Roman"/>
          <w:sz w:val="24"/>
          <w:szCs w:val="24"/>
          <w:lang w:eastAsia="it-IT"/>
        </w:rPr>
        <w:t>110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/2017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/PAR</w:t>
      </w:r>
    </w:p>
    <w:p w:rsidR="00B32408" w:rsidRPr="0001097C" w:rsidRDefault="00B32408" w:rsidP="00B32408">
      <w:pPr>
        <w:spacing w:after="0" w:line="360" w:lineRule="auto"/>
        <w:ind w:left="180" w:right="98" w:firstLine="540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object w:dxaOrig="262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4pt;height:72.6pt" o:ole="">
            <v:imagedata r:id="rId5" o:title=""/>
          </v:shape>
          <o:OLEObject Type="Embed" ProgID="Word.Picture.8" ShapeID="_x0000_i1025" DrawAspect="Content" ObjectID="_1552893716" r:id="rId6"/>
        </w:object>
      </w:r>
    </w:p>
    <w:p w:rsidR="00B32408" w:rsidRDefault="00B32408" w:rsidP="00B32408">
      <w:pPr>
        <w:spacing w:after="0" w:line="360" w:lineRule="auto"/>
        <w:ind w:left="2293" w:right="96" w:firstLine="539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2F4FED" w:rsidRPr="0001097C" w:rsidRDefault="002F4FED" w:rsidP="00B32408">
      <w:pPr>
        <w:spacing w:after="0" w:line="360" w:lineRule="auto"/>
        <w:ind w:left="2293" w:right="96" w:firstLine="539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32408" w:rsidRDefault="00B32408" w:rsidP="002F4FED">
      <w:pPr>
        <w:spacing w:after="0" w:line="360" w:lineRule="auto"/>
        <w:ind w:left="3000" w:right="96" w:hanging="2291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composta dai magistrati:</w:t>
      </w:r>
    </w:p>
    <w:p w:rsidR="002F4FED" w:rsidRPr="0001097C" w:rsidRDefault="002F4FED" w:rsidP="002F4FED">
      <w:pPr>
        <w:spacing w:after="0" w:line="360" w:lineRule="auto"/>
        <w:ind w:left="3000" w:right="96" w:hanging="2291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2F4FED" w:rsidRDefault="002F4FED" w:rsidP="00B32408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32408" w:rsidRPr="0001097C" w:rsidRDefault="00B32408" w:rsidP="00B32408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  <w:t>presidente</w:t>
      </w:r>
    </w:p>
    <w:p w:rsidR="00B32408" w:rsidRDefault="00B32408" w:rsidP="00B32408">
      <w:pPr>
        <w:tabs>
          <w:tab w:val="left" w:pos="5775"/>
        </w:tabs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Nicola BONTEMPO                                                 </w:t>
      </w:r>
      <w:r w:rsidRPr="00C64A2D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2F4FED" w:rsidRDefault="00B32408" w:rsidP="002F4FED">
      <w:pPr>
        <w:tabs>
          <w:tab w:val="left" w:pos="5730"/>
        </w:tabs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Mauro NORI                                                             </w:t>
      </w:r>
      <w:r w:rsidRPr="00C64A2D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 relatore</w:t>
      </w:r>
    </w:p>
    <w:p w:rsidR="002F4FED" w:rsidRDefault="002F4FED" w:rsidP="002F4FED">
      <w:pPr>
        <w:spacing w:before="120" w:after="12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2F4FED" w:rsidRPr="0001097C" w:rsidRDefault="00B32408" w:rsidP="002F4FED">
      <w:pPr>
        <w:spacing w:before="120" w:after="12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nell’adunanza del </w:t>
      </w:r>
      <w:r w:rsidR="0038629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4 aprile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2017,</w:t>
      </w:r>
    </w:p>
    <w:p w:rsidR="002F4FED" w:rsidRDefault="002F4FED" w:rsidP="00B32408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30505" w:rsidRDefault="00C30505" w:rsidP="00B32408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32408" w:rsidRPr="0001097C" w:rsidRDefault="00B32408" w:rsidP="00B32408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comma 2, della Costituzione;</w:t>
      </w:r>
    </w:p>
    <w:p w:rsidR="00B32408" w:rsidRPr="0001097C" w:rsidRDefault="00B32408" w:rsidP="00B3240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VISTO il testo unico delle leggi sulla Corte dei conti, approvato con r.d. </w:t>
      </w:r>
      <w:smartTag w:uri="urn:schemas-microsoft-com:office:smarttags" w:element="date">
        <w:smartTagPr>
          <w:attr w:name="ls" w:val="trans"/>
          <w:attr w:name="Month" w:val="7"/>
          <w:attr w:name="Day" w:val="12"/>
          <w:attr w:name="Year" w:val="19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12 luglio 19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34, n. 1214, e successive modificazioni;</w:t>
      </w:r>
    </w:p>
    <w:p w:rsidR="00B32408" w:rsidRPr="0001097C" w:rsidRDefault="00B32408" w:rsidP="00B3240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</w:t>
      </w:r>
      <w:smartTag w:uri="urn:schemas-microsoft-com:office:smarttags" w:element="date">
        <w:smartTagPr>
          <w:attr w:name="ls" w:val="trans"/>
          <w:attr w:name="Month" w:val="1"/>
          <w:attr w:name="Day" w:val="14"/>
          <w:attr w:name="Year" w:val="1994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14 gennaio 1994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n. 20, recante disposizioni in materia di giurisdizione e controllo della Corte dei Conti, e successive modificazioni; </w:t>
      </w:r>
    </w:p>
    <w:p w:rsidR="00B32408" w:rsidRPr="0001097C" w:rsidRDefault="00B32408" w:rsidP="00B3240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</w:t>
      </w:r>
      <w:smartTag w:uri="urn:schemas-microsoft-com:office:smarttags" w:element="date">
        <w:smartTagPr>
          <w:attr w:name="ls" w:val="trans"/>
          <w:attr w:name="Month" w:val="6"/>
          <w:attr w:name="Day" w:val="5"/>
          <w:attr w:name="Year" w:val="2003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5 giugno 2003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n. 131, recante disposizioni per l’adeguamento dell’ordinamento della Repubblica alla legge costituzionale </w:t>
      </w:r>
      <w:smartTag w:uri="urn:schemas-microsoft-com:office:smarttags" w:element="date">
        <w:smartTagPr>
          <w:attr w:name="ls" w:val="trans"/>
          <w:attr w:name="Month" w:val="10"/>
          <w:attr w:name="Day" w:val="18"/>
          <w:attr w:name="Year" w:val="2001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B32408" w:rsidRPr="0001097C" w:rsidRDefault="00B32408" w:rsidP="00B32408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VISTO il regolamento (14/2000) per l’organizzazione delle funzioni di controllo della Corte dei conti, deliberato dalle Sezioni Riunite della Corte dei conti in data </w:t>
      </w:r>
      <w:smartTag w:uri="urn:schemas-microsoft-com:office:smarttags" w:element="date">
        <w:smartTagPr>
          <w:attr w:name="ls" w:val="trans"/>
          <w:attr w:name="Month" w:val="6"/>
          <w:attr w:name="Day" w:val="16"/>
          <w:attr w:name="Year" w:val="2000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16 giugno 2000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successive modifiche; </w:t>
      </w:r>
    </w:p>
    <w:p w:rsidR="00B32408" w:rsidRPr="0001097C" w:rsidRDefault="00B32408" w:rsidP="00B3240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convenzione stipulata il </w:t>
      </w:r>
      <w:smartTag w:uri="urn:schemas-microsoft-com:office:smarttags" w:element="date">
        <w:smartTagPr>
          <w:attr w:name="ls" w:val="trans"/>
          <w:attr w:name="Month" w:val="6"/>
          <w:attr w:name="Day" w:val="16"/>
          <w:attr w:name="Year" w:val="2006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16 giugno 2006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tra Sezione regionale, Consiglio delle autonomie locali e Giunta regionale Toscana in materia di “ulteriori forme di collaborazione” tra Corte ed autonomie, ai sensi dell’art. 7, comma 8, della citata legge n. 131 del 2003;</w:t>
      </w:r>
    </w:p>
    <w:p w:rsidR="00B32408" w:rsidRPr="0001097C" w:rsidRDefault="00B32408" w:rsidP="00B3240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UDITO il relatore, Cons.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Mauro Nori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B32408" w:rsidRDefault="00B32408" w:rsidP="00B32408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br w:type="page"/>
      </w:r>
    </w:p>
    <w:p w:rsidR="00B32408" w:rsidRDefault="00B32408" w:rsidP="00B32408">
      <w:pPr>
        <w:spacing w:before="240" w:after="240" w:line="360" w:lineRule="auto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FATTO</w:t>
      </w:r>
    </w:p>
    <w:p w:rsidR="00B32408" w:rsidRDefault="006E68B4" w:rsidP="00B32408">
      <w:pPr>
        <w:spacing w:after="0" w:line="360" w:lineRule="auto"/>
        <w:ind w:firstLine="851"/>
        <w:contextualSpacing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nota del </w:t>
      </w:r>
      <w:r w:rsidR="006B2DEE">
        <w:rPr>
          <w:rFonts w:ascii="Bodoni MT" w:eastAsia="Times New Roman" w:hAnsi="Bodoni MT" w:cs="Times New Roman"/>
          <w:sz w:val="24"/>
          <w:szCs w:val="24"/>
          <w:lang w:eastAsia="it-IT"/>
        </w:rPr>
        <w:t>23 febbraio 2017</w:t>
      </w:r>
      <w:r w:rsidR="00B3240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prot. </w:t>
      </w:r>
      <w:r w:rsidR="006B2DEE">
        <w:rPr>
          <w:rFonts w:ascii="Bodoni MT" w:eastAsia="Times New Roman" w:hAnsi="Bodoni MT" w:cs="Times New Roman"/>
          <w:sz w:val="24"/>
          <w:szCs w:val="24"/>
          <w:lang w:eastAsia="it-IT"/>
        </w:rPr>
        <w:t>4080</w:t>
      </w:r>
      <w:r w:rsidR="006B2DEE">
        <w:rPr>
          <w:rFonts w:ascii="Bodoni MT" w:eastAsia="Times New Roman" w:hAnsi="Bodoni MT" w:cs="Times New Roman"/>
          <w:sz w:val="24"/>
          <w:szCs w:val="24"/>
          <w:lang w:eastAsia="it-IT"/>
        </w:rPr>
        <w:softHyphen/>
        <w:t>_2017-02-24</w:t>
      </w:r>
      <w:r w:rsidR="00B3240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inoltrata a mezzo posta certificata, il Consiglio delle Autonomie Locali inoltrava alla Sezione richiesta di parere avanzata dal comune di </w:t>
      </w:r>
      <w:r w:rsidR="00C60775">
        <w:rPr>
          <w:rFonts w:ascii="Bodoni MT" w:eastAsia="Times New Roman" w:hAnsi="Bodoni MT" w:cs="Times New Roman"/>
          <w:sz w:val="24"/>
          <w:szCs w:val="24"/>
          <w:lang w:eastAsia="it-IT"/>
        </w:rPr>
        <w:t>Montecatini</w:t>
      </w:r>
      <w:r w:rsidR="00B3240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avente ad oggetto l’interpretazione </w:t>
      </w:r>
      <w:r w:rsidR="00721C9F">
        <w:rPr>
          <w:rFonts w:ascii="Bodoni MT" w:eastAsia="Times New Roman" w:hAnsi="Bodoni MT" w:cs="Times New Roman"/>
          <w:sz w:val="24"/>
          <w:szCs w:val="24"/>
          <w:lang w:eastAsia="it-IT"/>
        </w:rPr>
        <w:t>dell’art. 12, comma 1-ter, del decreto-legge 6 luglio 2011, n. 98, ed in particolare se l’applicazione della prima parte della norma – che al fine di conseguire ulteriori risparmi di spesa consente agli enti locali l’acquisto di immobili quando ne sia comprovata l’indispensabilità ed indilazionabilità – possa essere esclusa nelle seguenti ipotesi :</w:t>
      </w:r>
    </w:p>
    <w:p w:rsidR="00721C9F" w:rsidRDefault="00721C9F" w:rsidP="00721C9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Allorquando l’acquisto dell’immobile venga effettuato con contributi di terzi – ad esempio con risorse del Cipe – costituendo pertanto l’acquisto un’operazione finanziariamente neutra.</w:t>
      </w:r>
    </w:p>
    <w:p w:rsidR="00721C9F" w:rsidRDefault="00721C9F" w:rsidP="00721C9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Allorquando l’acquisto dell’immobile venga effettuato in attuazione di un più ampio progetto teso alla valorizzazione dell’economia turistica e dello sviluppo del territorio e sia finanziato con risorse aggiuntive, di cui all’art. 4 del decreto legislativo 31 maggio 2011, n. 88, che già l’art. 12, comma 1-sexies decreto-legge </w:t>
      </w:r>
      <w:r w:rsidR="0035572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n.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98/2011 escludeva dal divieto di acquisto di immobili per l’anno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2013 di cui al comma 1-quater, in quanto operazioni di acquisto previste in attuazione di piani </w:t>
      </w:r>
      <w:r w:rsidRPr="00FB2698">
        <w:rPr>
          <w:rFonts w:ascii="Bodoni MT" w:eastAsia="Times New Roman" w:hAnsi="Bodoni MT" w:cs="Times New Roman"/>
          <w:i/>
          <w:sz w:val="24"/>
          <w:szCs w:val="24"/>
          <w:lang w:eastAsia="it-IT"/>
        </w:rPr>
        <w:t>“realizzati al fine di promuovere lo sviluppo economico e la coesione sociale e territoriale…..in conformità al quinto comma dell’art. 119 della Costituzione e finanziati con risorse aggiuntive ai sensi del decreto legislativo 31 maggio 2011, n. 88”</w:t>
      </w:r>
      <w:r w:rsidR="00FB2698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Pr="00FB269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</w:t>
      </w:r>
    </w:p>
    <w:p w:rsidR="00FB2698" w:rsidRPr="00FB2698" w:rsidRDefault="00FB2698" w:rsidP="00FB2698">
      <w:pPr>
        <w:pStyle w:val="Paragrafoelenco"/>
        <w:spacing w:after="0" w:line="360" w:lineRule="auto"/>
        <w:ind w:left="1211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B2698" w:rsidRPr="00FB2698" w:rsidRDefault="00FB2698" w:rsidP="00FB2698">
      <w:pPr>
        <w:spacing w:before="240" w:after="240" w:line="360" w:lineRule="auto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DIRITTO</w:t>
      </w:r>
    </w:p>
    <w:p w:rsidR="00B00AB1" w:rsidRPr="0001097C" w:rsidRDefault="00B00AB1" w:rsidP="00B00AB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 via preliminare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o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ccorre verificare i necessari requisiti di ammissibilità, sia sotto il profilo soggettivo, con riferimento alla legittimazione dell’organo richiedente, sia sotto il profilo oggettivo, concernente l’attinenza alla materia della contabilità pubblica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la generalità ed astrattezza del quesito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B00AB1" w:rsidRDefault="00B00AB1" w:rsidP="00B00AB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Nel caso in esame, il parere è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ammissibile sotto il profilo soggettivo, in quanto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inoltrato dal legale rappresentate dell’ente, per il tramite del Consiglio delle Autonomie Locali.</w:t>
      </w:r>
      <w:r w:rsidRPr="0057414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B00AB1" w:rsidRDefault="00B00AB1" w:rsidP="00B00AB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Sul piano dell’ammissibilità oggettiva, la richiesta di parere è ammissibile. </w:t>
      </w:r>
    </w:p>
    <w:p w:rsidR="00B00AB1" w:rsidRDefault="00B00AB1" w:rsidP="00B00AB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La Corte dei Conti, infatti, nel suo esercizio di controllo collaborativo e secondo il disposto dell’art. 7, comma 8, della L. n. 131/2003, può rendere pareri in materia di </w:t>
      </w:r>
      <w:r w:rsidRPr="000E3A7C">
        <w:rPr>
          <w:rFonts w:ascii="Bodoni MT" w:eastAsia="Times New Roman" w:hAnsi="Bodoni MT" w:cs="Times New Roman"/>
          <w:i/>
          <w:sz w:val="24"/>
          <w:szCs w:val="24"/>
          <w:lang w:eastAsia="it-IT"/>
        </w:rPr>
        <w:t>“contabilità pubblica”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B00AB1" w:rsidRDefault="00B00AB1" w:rsidP="00B00AB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Le Sezioni Riunite, con la deliberazione n. 54 del 17.11.2010, condividendo l’orientamento già espresso dalla Sezione delle Autonomie con la Deliberazione n. 5 del 17.02.2006, hanno definito che la nozione di </w:t>
      </w:r>
      <w:r w:rsidRPr="000E3A7C">
        <w:rPr>
          <w:rFonts w:ascii="Bodoni MT" w:eastAsia="Times New Roman" w:hAnsi="Bodoni MT" w:cs="Times New Roman"/>
          <w:i/>
          <w:sz w:val="24"/>
          <w:szCs w:val="24"/>
          <w:lang w:eastAsia="it-IT"/>
        </w:rPr>
        <w:t>“contabilità pubblica”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come strumentale alla funzione consultiva deve assumere un ambito limitato alle normative ed ai relativi atti applicativi che disciplinano l’attività finanziaria che precede o che segue i distinti interventi di settore, ricomprendendo in particolare la disciplina inerente la gestione dei bilanci ed i relativi equilibri, l’acquisizione delle entrate, l’organizzazione finanziaria-contabile, la gestione delle spese, la disciplina del patrimonio, l’indebitamento, la rendicontazione ed i relativi controlli.</w:t>
      </w:r>
    </w:p>
    <w:p w:rsidR="00B00AB1" w:rsidRDefault="00B00AB1" w:rsidP="00B00AB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Per consolidato orientamento di questa sezione e più in generale delle sezioni regionali di controllo, la funzione consultiva assegnata alla Corte dei Conti deve trattare ambiti ed oggetti di portata generale e non fatti gestionali specifici; non può riguardare provvedimenti già formalmente adottati, non potendo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tramutarsi in una verifica postuma di legittimità, e non può interferire con le funzioni assegnate ad altre Magistrature o alla stessa Corte sotto altri profili.</w:t>
      </w:r>
    </w:p>
    <w:p w:rsidR="003E5FAB" w:rsidRDefault="00C30505" w:rsidP="00B00AB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 merito </w:t>
      </w:r>
      <w:r w:rsidR="00767E5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richiesta di parere </w:t>
      </w:r>
      <w:r w:rsidR="005E2B67">
        <w:rPr>
          <w:rFonts w:ascii="Bodoni MT" w:eastAsia="Times New Roman" w:hAnsi="Bodoni MT" w:cs="Times New Roman"/>
          <w:sz w:val="24"/>
          <w:szCs w:val="24"/>
          <w:lang w:eastAsia="it-IT"/>
        </w:rPr>
        <w:t>è inammissibile in qua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nto attiene a specifiche vicende gestionali</w:t>
      </w:r>
      <w:r w:rsidR="003E5FAB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C30505" w:rsidRDefault="003E5FAB" w:rsidP="00B00AB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Peraltro, per ciò che riguarda la fattispecie generale di cui al punto sub A), questa</w:t>
      </w:r>
      <w:r w:rsidR="005E2B6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Sezione si è già espressa con la deliberazione n. 3/2015, dai cui criteri non ritiene di doversi discostare. </w:t>
      </w:r>
    </w:p>
    <w:p w:rsidR="005E2B67" w:rsidRDefault="005E2B67" w:rsidP="00B00AB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i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Al riguardo, infatti, nella citata deliberazione la Sezion</w:t>
      </w:r>
      <w:r w:rsidR="000024A7">
        <w:rPr>
          <w:rFonts w:ascii="Bodoni MT" w:eastAsia="Times New Roman" w:hAnsi="Bodoni MT" w:cs="Times New Roman"/>
          <w:sz w:val="24"/>
          <w:szCs w:val="24"/>
          <w:lang w:eastAsia="it-IT"/>
        </w:rPr>
        <w:t>e 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le Sezion</w:t>
      </w:r>
      <w:r w:rsidR="005F6D8E">
        <w:rPr>
          <w:rFonts w:ascii="Bodoni MT" w:eastAsia="Times New Roman" w:hAnsi="Bodoni MT" w:cs="Times New Roman"/>
          <w:sz w:val="24"/>
          <w:szCs w:val="24"/>
          <w:lang w:eastAsia="it-IT"/>
        </w:rPr>
        <w:t>i riunite (delibera in sede nomo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filattica n. 7/2011) </w:t>
      </w:r>
      <w:r w:rsidRPr="005E2B67">
        <w:rPr>
          <w:rFonts w:ascii="Bodoni MT" w:eastAsia="Times New Roman" w:hAnsi="Bodoni MT" w:cs="Times New Roman"/>
          <w:i/>
          <w:sz w:val="24"/>
          <w:szCs w:val="24"/>
          <w:lang w:eastAsia="it-IT"/>
        </w:rPr>
        <w:t>“</w:t>
      </w:r>
      <w:r>
        <w:rPr>
          <w:rFonts w:ascii="Bodoni MT" w:eastAsia="Times New Roman" w:hAnsi="Bodoni MT" w:cs="Times New Roman"/>
          <w:i/>
          <w:sz w:val="24"/>
          <w:szCs w:val="24"/>
          <w:lang w:eastAsia="it-IT"/>
        </w:rPr>
        <w:t xml:space="preserve">hanno più volte espresso il principio in base al quale le disposizioni di legge che impongono limitazioni alla spesa degli enti locali non si applicano alle spese degli enti </w:t>
      </w:r>
      <w:r w:rsidR="005F6D8E">
        <w:rPr>
          <w:rFonts w:ascii="Bodoni MT" w:eastAsia="Times New Roman" w:hAnsi="Bodoni MT" w:cs="Times New Roman"/>
          <w:i/>
          <w:sz w:val="24"/>
          <w:szCs w:val="24"/>
          <w:lang w:eastAsia="it-IT"/>
        </w:rPr>
        <w:t xml:space="preserve">che non siano finanziate a carico dei loro bilanci, ma che siano interamente a carico, ad esempio, di fondi comunitari o, </w:t>
      </w:r>
      <w:r w:rsidR="00C30505">
        <w:rPr>
          <w:rFonts w:ascii="Bodoni MT" w:eastAsia="Times New Roman" w:hAnsi="Bodoni MT" w:cs="Times New Roman"/>
          <w:i/>
          <w:sz w:val="24"/>
          <w:szCs w:val="24"/>
          <w:lang w:eastAsia="it-IT"/>
        </w:rPr>
        <w:t>[...]</w:t>
      </w:r>
      <w:r w:rsidR="005F6D8E">
        <w:rPr>
          <w:rFonts w:ascii="Bodoni MT" w:eastAsia="Times New Roman" w:hAnsi="Bodoni MT" w:cs="Times New Roman"/>
          <w:i/>
          <w:sz w:val="24"/>
          <w:szCs w:val="24"/>
          <w:lang w:eastAsia="it-IT"/>
        </w:rPr>
        <w:t xml:space="preserve"> di privati”.</w:t>
      </w:r>
    </w:p>
    <w:p w:rsidR="005F6D8E" w:rsidRDefault="005F6D8E" w:rsidP="00B00AB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Pertanto, sulla base dei criteri esposti nella citata delibera, l’Amministrazion</w:t>
      </w:r>
      <w:r w:rsidR="003E5FA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potrà, </w:t>
      </w:r>
      <w:r w:rsidR="00C30505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 w:rsidR="00883594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3E5FA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dovrà </w:t>
      </w:r>
      <w:r w:rsidR="00C30505">
        <w:rPr>
          <w:rFonts w:ascii="Bodoni MT" w:eastAsia="Times New Roman" w:hAnsi="Bodoni MT" w:cs="Times New Roman"/>
          <w:sz w:val="24"/>
          <w:szCs w:val="24"/>
          <w:lang w:eastAsia="it-IT"/>
        </w:rPr>
        <w:t>valutare</w:t>
      </w:r>
      <w:r w:rsidR="003E5FA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C01089">
        <w:rPr>
          <w:rFonts w:ascii="Bodoni MT" w:eastAsia="Times New Roman" w:hAnsi="Bodoni MT" w:cs="Times New Roman"/>
          <w:sz w:val="24"/>
          <w:szCs w:val="24"/>
          <w:lang w:eastAsia="it-IT"/>
        </w:rPr>
        <w:t>a fattispecie concreta rientri o meno nell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’ambito</w:t>
      </w:r>
      <w:r w:rsidR="00C3050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applicazione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 divieto di cui al citato art. 12, comma 1-ter</w:t>
      </w:r>
      <w:r w:rsidR="00C3050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ed in caso negativo</w:t>
      </w:r>
      <w:r w:rsidR="00883594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C3050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verificare</w:t>
      </w:r>
      <w:r w:rsidR="00883594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C3050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l’eventuale ricorrenza delle condizioni esonerative di cui alla medesima disposizione.</w:t>
      </w:r>
    </w:p>
    <w:p w:rsidR="00ED127E" w:rsidRDefault="00C30505" w:rsidP="009B1304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Inoltre</w:t>
      </w:r>
      <w:r w:rsidR="00B972A4">
        <w:rPr>
          <w:rFonts w:ascii="Bodoni MT" w:eastAsia="Times New Roman" w:hAnsi="Bodoni MT" w:cs="Times New Roman"/>
          <w:sz w:val="24"/>
          <w:szCs w:val="24"/>
          <w:lang w:eastAsia="it-IT"/>
        </w:rPr>
        <w:t>, per</w:t>
      </w:r>
      <w:r w:rsidR="0005476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quanto concerne il punto di cui alla lettera B)</w:t>
      </w:r>
      <w:r w:rsidR="00B972A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5476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della presente richiesta di parere, si precisa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che alla luce della inequivoca interpret</w:t>
      </w:r>
      <w:r w:rsidR="00883594">
        <w:rPr>
          <w:rFonts w:ascii="Bodoni MT" w:eastAsia="Times New Roman" w:hAnsi="Bodoni MT" w:cs="Times New Roman"/>
          <w:sz w:val="24"/>
          <w:szCs w:val="24"/>
          <w:lang w:eastAsia="it-IT"/>
        </w:rPr>
        <w:t>azione della disposizione in oggetto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 limita l’efficacia delle ulteriori deroghe di cui all’art. 12, comma 1-quater e comma 1-sexies</w:t>
      </w:r>
      <w:r w:rsidR="003E58C2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all’esercizio 2013, non residuano margini per la richiesta interpretazione estensiva</w:t>
      </w:r>
      <w:r w:rsidR="00432E2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</w:p>
    <w:p w:rsidR="00ED127E" w:rsidRPr="0001097C" w:rsidRDefault="00ED127E" w:rsidP="00ED127E">
      <w:pPr>
        <w:spacing w:before="240" w:after="240" w:line="360" w:lineRule="auto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* * *</w:t>
      </w:r>
    </w:p>
    <w:p w:rsidR="006B2DEE" w:rsidRDefault="00ED127E" w:rsidP="00ED127E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Nelle sopra esposte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considerazioni è il deliberato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della Corte dei conti – Sezione regionale di controllo per la Toscana - in relazione alla richiesta formulata dal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comune di </w:t>
      </w:r>
      <w:r w:rsidR="00C60775">
        <w:rPr>
          <w:rFonts w:ascii="Bodoni MT" w:eastAsia="Times New Roman" w:hAnsi="Bodoni MT" w:cs="Times New Roman"/>
          <w:sz w:val="24"/>
          <w:szCs w:val="24"/>
          <w:lang w:eastAsia="it-IT"/>
        </w:rPr>
        <w:t>Montecatini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6B2DE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trasmessa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dal Consiglio delle autonomie con </w:t>
      </w:r>
      <w:r w:rsidR="006B2DEE">
        <w:rPr>
          <w:rFonts w:ascii="Bodoni MT" w:eastAsia="Times New Roman" w:hAnsi="Bodoni MT" w:cs="Times New Roman"/>
          <w:sz w:val="24"/>
          <w:szCs w:val="24"/>
          <w:lang w:eastAsia="it-IT"/>
        </w:rPr>
        <w:t>nota del  23 febbraio 2017, prot. 4080</w:t>
      </w:r>
      <w:r w:rsidR="006B2DEE">
        <w:rPr>
          <w:rFonts w:ascii="Bodoni MT" w:eastAsia="Times New Roman" w:hAnsi="Bodoni MT" w:cs="Times New Roman"/>
          <w:sz w:val="24"/>
          <w:szCs w:val="24"/>
          <w:lang w:eastAsia="it-IT"/>
        </w:rPr>
        <w:softHyphen/>
        <w:t xml:space="preserve">_2017-02-24 ed inoltrata a mezzo posta certificata.  </w:t>
      </w:r>
    </w:p>
    <w:p w:rsidR="00ED127E" w:rsidRPr="0001097C" w:rsidRDefault="00ED127E" w:rsidP="00ED127E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è trasmessa </w:t>
      </w:r>
      <w:r w:rsidRPr="005B5F7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Presidente del Consiglio delle autonomie locali della Toscana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e, per conoscenza,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al Sindaco del comune di </w:t>
      </w:r>
      <w:r w:rsidR="005E2B67">
        <w:rPr>
          <w:rFonts w:ascii="Bodoni MT" w:eastAsia="Times New Roman" w:hAnsi="Bodoni MT" w:cs="Times New Roman"/>
          <w:sz w:val="24"/>
          <w:szCs w:val="24"/>
          <w:lang w:eastAsia="it-IT"/>
        </w:rPr>
        <w:t>Montecatini</w:t>
      </w:r>
      <w:r w:rsidRPr="00EC7D6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d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 Presidente del relativo Consiglio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ED127E" w:rsidRPr="0001097C" w:rsidRDefault="00ED127E" w:rsidP="00ED127E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ED127E" w:rsidRPr="0001097C" w:rsidRDefault="00ED127E" w:rsidP="00ED127E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Firenze, </w:t>
      </w:r>
      <w:r w:rsidR="0038629C">
        <w:rPr>
          <w:rFonts w:ascii="Bodoni MT" w:eastAsia="Times New Roman" w:hAnsi="Bodoni MT" w:cs="Times New Roman"/>
          <w:sz w:val="24"/>
          <w:szCs w:val="24"/>
          <w:lang w:eastAsia="it-IT"/>
        </w:rPr>
        <w:t>4 aprile 2017</w:t>
      </w:r>
    </w:p>
    <w:p w:rsidR="00ED127E" w:rsidRPr="0001097C" w:rsidRDefault="00ED127E" w:rsidP="00ED127E">
      <w:pPr>
        <w:spacing w:after="0" w:line="240" w:lineRule="auto"/>
        <w:ind w:left="5041" w:firstLine="709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ED127E" w:rsidRPr="0001097C" w:rsidRDefault="00ED127E" w:rsidP="00ED127E">
      <w:pPr>
        <w:spacing w:after="0" w:line="240" w:lineRule="auto"/>
        <w:ind w:firstLine="142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L’estensore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8629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8629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8629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8629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8629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Il presidente</w:t>
      </w:r>
    </w:p>
    <w:p w:rsidR="00ED127E" w:rsidRPr="0001097C" w:rsidRDefault="0038629C" w:rsidP="00ED127E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ED127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Ma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uro Nori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f.to </w:t>
      </w:r>
      <w:r w:rsidR="00ED127E"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</w:p>
    <w:p w:rsidR="00ED127E" w:rsidRPr="0001097C" w:rsidRDefault="00ED127E" w:rsidP="00ED127E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ED127E" w:rsidRPr="0001097C" w:rsidRDefault="00ED127E" w:rsidP="00ED127E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ED127E" w:rsidRPr="0001097C" w:rsidRDefault="00ED127E" w:rsidP="00ED127E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ED127E" w:rsidRPr="0001097C" w:rsidRDefault="00ED127E" w:rsidP="00ED127E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ED127E" w:rsidRPr="0001097C" w:rsidRDefault="00ED127E" w:rsidP="00ED127E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ED127E" w:rsidRPr="0001097C" w:rsidRDefault="00ED127E" w:rsidP="00ED127E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Depositata in Segreteria il </w:t>
      </w:r>
      <w:r w:rsidR="0038629C">
        <w:rPr>
          <w:rFonts w:ascii="Bodoni MT" w:eastAsia="Times New Roman" w:hAnsi="Bodoni MT" w:cs="Times New Roman"/>
          <w:sz w:val="24"/>
          <w:szCs w:val="24"/>
          <w:lang w:eastAsia="it-IT"/>
        </w:rPr>
        <w:t>4 aprile 2017</w:t>
      </w:r>
    </w:p>
    <w:p w:rsidR="00ED127E" w:rsidRPr="0001097C" w:rsidRDefault="00ED127E" w:rsidP="00ED127E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Il funzionario preposto al Servizio di supporto</w:t>
      </w:r>
    </w:p>
    <w:p w:rsidR="00ED127E" w:rsidRPr="00842DE0" w:rsidRDefault="00ED127E" w:rsidP="00ED127E">
      <w:pPr>
        <w:spacing w:after="0" w:line="240" w:lineRule="auto"/>
        <w:ind w:left="708"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f.to Claudio Felli</w:t>
      </w:r>
    </w:p>
    <w:p w:rsidR="0005476A" w:rsidRPr="00355722" w:rsidRDefault="0005476A" w:rsidP="0011789F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33AE7" w:rsidRDefault="00C33AE7"/>
    <w:sectPr w:rsidR="00C33A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86F3E"/>
    <w:multiLevelType w:val="hybridMultilevel"/>
    <w:tmpl w:val="2E56E5D2"/>
    <w:lvl w:ilvl="0" w:tplc="85B628B0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08"/>
    <w:rsid w:val="000024A7"/>
    <w:rsid w:val="000053F2"/>
    <w:rsid w:val="0001657C"/>
    <w:rsid w:val="0005476A"/>
    <w:rsid w:val="00055B86"/>
    <w:rsid w:val="00061B75"/>
    <w:rsid w:val="000658BE"/>
    <w:rsid w:val="000B1356"/>
    <w:rsid w:val="0011789F"/>
    <w:rsid w:val="002F4FED"/>
    <w:rsid w:val="00355722"/>
    <w:rsid w:val="0038629C"/>
    <w:rsid w:val="003D0536"/>
    <w:rsid w:val="003E58C2"/>
    <w:rsid w:val="003E5FAB"/>
    <w:rsid w:val="00432E2B"/>
    <w:rsid w:val="00482513"/>
    <w:rsid w:val="004F52D0"/>
    <w:rsid w:val="00592AF7"/>
    <w:rsid w:val="005E2B67"/>
    <w:rsid w:val="005F6D8E"/>
    <w:rsid w:val="006B2DEE"/>
    <w:rsid w:val="006E68B4"/>
    <w:rsid w:val="0071338E"/>
    <w:rsid w:val="00721C9F"/>
    <w:rsid w:val="00767E52"/>
    <w:rsid w:val="007E6622"/>
    <w:rsid w:val="00837C98"/>
    <w:rsid w:val="00883594"/>
    <w:rsid w:val="00994B0A"/>
    <w:rsid w:val="009B1304"/>
    <w:rsid w:val="00B00AB1"/>
    <w:rsid w:val="00B32408"/>
    <w:rsid w:val="00B972A4"/>
    <w:rsid w:val="00BE0197"/>
    <w:rsid w:val="00BE229B"/>
    <w:rsid w:val="00C01089"/>
    <w:rsid w:val="00C0476F"/>
    <w:rsid w:val="00C30505"/>
    <w:rsid w:val="00C33AE7"/>
    <w:rsid w:val="00C578AA"/>
    <w:rsid w:val="00C60775"/>
    <w:rsid w:val="00D3284A"/>
    <w:rsid w:val="00ED127E"/>
    <w:rsid w:val="00F80429"/>
    <w:rsid w:val="00F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8DB32-511D-408D-AF53-512BAD63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24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1C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 Mauro</dc:creator>
  <cp:keywords/>
  <dc:description/>
  <cp:lastModifiedBy>Croppi Simona</cp:lastModifiedBy>
  <cp:revision>2</cp:revision>
  <cp:lastPrinted>2017-04-04T13:25:00Z</cp:lastPrinted>
  <dcterms:created xsi:type="dcterms:W3CDTF">2017-04-05T08:36:00Z</dcterms:created>
  <dcterms:modified xsi:type="dcterms:W3CDTF">2017-04-05T08:36:00Z</dcterms:modified>
</cp:coreProperties>
</file>