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E87405">
        <w:rPr>
          <w:rFonts w:ascii="Bodoni MT" w:hAnsi="Bodoni MT"/>
        </w:rPr>
        <w:t>152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Pr="00426926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pt;height:1in" o:ole="">
            <v:imagedata r:id="rId8" o:title=""/>
          </v:shape>
          <o:OLEObject Type="Embed" ProgID="Word.Picture.8" ShapeID="_x0000_i1025" DrawAspect="Content" ObjectID="_1559551465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6858B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3976" w:rsidRPr="007B48B4">
        <w:rPr>
          <w:rFonts w:ascii="Bodoni MT" w:hAnsi="Bodoni MT"/>
        </w:rPr>
        <w:t xml:space="preserve"> </w:t>
      </w:r>
      <w:r w:rsidR="007266DA">
        <w:rPr>
          <w:rFonts w:ascii="Bodoni MT" w:hAnsi="Bodoni MT"/>
        </w:rPr>
        <w:t>20giugno</w:t>
      </w:r>
      <w:r w:rsidR="007B48B4" w:rsidRPr="007B48B4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423C0A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C4259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</w:t>
      </w:r>
      <w:r w:rsidRPr="005A6B70">
        <w:rPr>
          <w:rFonts w:ascii="Bodoni MT" w:hAnsi="Bodoni MT"/>
        </w:rPr>
        <w:lastRenderedPageBreak/>
        <w:t xml:space="preserve">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DD5CB9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BC13AE" w:rsidRDefault="001A27BC" w:rsidP="005F6F9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C33B78">
        <w:rPr>
          <w:rFonts w:ascii="Bodoni MT" w:hAnsi="Bodoni MT"/>
        </w:rPr>
        <w:t>20.04.2017</w:t>
      </w:r>
      <w:r w:rsidR="00D872D7">
        <w:rPr>
          <w:rFonts w:ascii="Bodoni MT" w:hAnsi="Bodoni MT"/>
        </w:rPr>
        <w:t xml:space="preserve">, pervenuta il </w:t>
      </w:r>
      <w:r w:rsidR="00C33B78">
        <w:rPr>
          <w:rFonts w:ascii="Bodoni MT" w:hAnsi="Bodoni MT"/>
        </w:rPr>
        <w:t>24.04.2017</w:t>
      </w:r>
      <w:r w:rsidR="00D872D7">
        <w:rPr>
          <w:rFonts w:ascii="Bodoni MT" w:hAnsi="Bodoni MT"/>
        </w:rPr>
        <w:t xml:space="preserve"> (prot. </w:t>
      </w:r>
      <w:r w:rsidR="00C33B78">
        <w:rPr>
          <w:rFonts w:ascii="Bodoni MT" w:hAnsi="Bodoni MT"/>
        </w:rPr>
        <w:t xml:space="preserve">Sezione </w:t>
      </w:r>
      <w:r w:rsidR="00D872D7">
        <w:rPr>
          <w:rFonts w:ascii="Bodoni MT" w:hAnsi="Bodoni MT"/>
        </w:rPr>
        <w:t>n</w:t>
      </w:r>
      <w:r w:rsidR="00C33B78">
        <w:rPr>
          <w:rFonts w:ascii="Bodoni MT" w:hAnsi="Bodoni MT"/>
        </w:rPr>
        <w:t>.5363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inoltrato a questa Sezione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>nota in data</w:t>
      </w:r>
      <w:r w:rsidR="009F1AB1">
        <w:rPr>
          <w:rFonts w:ascii="Bodoni MT" w:hAnsi="Bodoni MT"/>
        </w:rPr>
        <w:t xml:space="preserve"> </w:t>
      </w:r>
      <w:r w:rsidR="00C33B78">
        <w:rPr>
          <w:rFonts w:ascii="Bodoni MT" w:hAnsi="Bodoni MT"/>
        </w:rPr>
        <w:t xml:space="preserve">13.04.2017 </w:t>
      </w:r>
      <w:r w:rsidR="004B7A19">
        <w:rPr>
          <w:rFonts w:ascii="Bodoni MT" w:hAnsi="Bodoni MT"/>
        </w:rPr>
        <w:t xml:space="preserve">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C33B78">
        <w:rPr>
          <w:rFonts w:ascii="Bodoni MT" w:hAnsi="Bodoni MT"/>
        </w:rPr>
        <w:t>Pisa</w:t>
      </w:r>
      <w:r w:rsidR="004B7A19">
        <w:rPr>
          <w:rFonts w:ascii="Bodoni MT" w:hAnsi="Bodoni MT"/>
        </w:rPr>
        <w:t xml:space="preserve"> fa richiesta, ex art.7 l. n.131/2003, di un parer</w:t>
      </w:r>
      <w:r w:rsidR="00E20B45">
        <w:rPr>
          <w:rFonts w:ascii="Bodoni MT" w:hAnsi="Bodoni MT"/>
        </w:rPr>
        <w:t>e da parte di questa Sezione</w:t>
      </w:r>
      <w:r w:rsidR="00AD0F07">
        <w:rPr>
          <w:rFonts w:ascii="Bodoni MT" w:hAnsi="Bodoni MT"/>
        </w:rPr>
        <w:t xml:space="preserve">. </w:t>
      </w:r>
      <w:r w:rsidR="00C33B78">
        <w:rPr>
          <w:rFonts w:ascii="Bodoni MT" w:hAnsi="Bodoni MT"/>
        </w:rPr>
        <w:t>In particolare i</w:t>
      </w:r>
      <w:r w:rsidR="004F0BAF">
        <w:rPr>
          <w:rFonts w:ascii="Bodoni MT" w:hAnsi="Bodoni MT"/>
        </w:rPr>
        <w:t xml:space="preserve">l richiedente, richiamata la evoluzione normativa e giurisprudenziale inerente la misura del gettone di presenza previsto per gli amministratori dall’art.82 Tuel, </w:t>
      </w:r>
      <w:r w:rsidR="00AD0F07">
        <w:rPr>
          <w:rFonts w:ascii="Bodoni MT" w:hAnsi="Bodoni MT"/>
        </w:rPr>
        <w:t>e segnatamente il recente orientamento di questa Sezione, condiviso dal Ministero dell’Interno</w:t>
      </w:r>
      <w:r w:rsidR="00441B6C">
        <w:rPr>
          <w:rFonts w:ascii="Bodoni MT" w:hAnsi="Bodoni MT"/>
        </w:rPr>
        <w:t xml:space="preserve"> ed al quale l’ente si è adeguato dal maggio 2013 (</w:t>
      </w:r>
      <w:r w:rsidR="00AD0F07">
        <w:rPr>
          <w:rFonts w:ascii="Bodoni MT" w:hAnsi="Bodoni MT"/>
        </w:rPr>
        <w:t>secondo cui dal</w:t>
      </w:r>
      <w:r w:rsidR="00BC13AE">
        <w:rPr>
          <w:rFonts w:ascii="Bodoni MT" w:hAnsi="Bodoni MT"/>
        </w:rPr>
        <w:t xml:space="preserve"> 25.06.</w:t>
      </w:r>
      <w:r w:rsidR="00AD0F07">
        <w:rPr>
          <w:rFonts w:ascii="Bodoni MT" w:hAnsi="Bodoni MT"/>
        </w:rPr>
        <w:t xml:space="preserve">2008 l’importo del gettone non poteva che essere </w:t>
      </w:r>
      <w:r w:rsidR="00BC13AE">
        <w:rPr>
          <w:rFonts w:ascii="Bodoni MT" w:hAnsi="Bodoni MT"/>
        </w:rPr>
        <w:t>determinato</w:t>
      </w:r>
      <w:r w:rsidR="00BC13AE" w:rsidRPr="00AD0F07">
        <w:rPr>
          <w:rFonts w:ascii="Bodoni MT" w:hAnsi="Bodoni MT"/>
        </w:rPr>
        <w:t xml:space="preserve"> in ragione dei valori edittali di cui al </w:t>
      </w:r>
      <w:r w:rsidR="00BC13AE">
        <w:rPr>
          <w:rFonts w:ascii="Bodoni MT" w:hAnsi="Bodoni MT"/>
        </w:rPr>
        <w:t xml:space="preserve">d.m. </w:t>
      </w:r>
      <w:r w:rsidR="00BC13AE" w:rsidRPr="00AD0F07">
        <w:rPr>
          <w:rFonts w:ascii="Bodoni MT" w:hAnsi="Bodoni MT"/>
        </w:rPr>
        <w:t>n.119/2000 ridott</w:t>
      </w:r>
      <w:r w:rsidR="00BC13AE">
        <w:rPr>
          <w:rFonts w:ascii="Bodoni MT" w:hAnsi="Bodoni MT"/>
        </w:rPr>
        <w:t xml:space="preserve">i del 10% ai sensi </w:t>
      </w:r>
      <w:r w:rsidR="00BC13AE" w:rsidRPr="00AD0F07">
        <w:rPr>
          <w:rFonts w:ascii="Bodoni MT" w:hAnsi="Bodoni MT"/>
        </w:rPr>
        <w:t>d</w:t>
      </w:r>
      <w:r w:rsidR="00BC13AE">
        <w:rPr>
          <w:rFonts w:ascii="Bodoni MT" w:hAnsi="Bodoni MT"/>
        </w:rPr>
        <w:t>e</w:t>
      </w:r>
      <w:r w:rsidR="00BC13AE" w:rsidRPr="00AD0F07">
        <w:rPr>
          <w:rFonts w:ascii="Bodoni MT" w:hAnsi="Bodoni MT"/>
        </w:rPr>
        <w:t>ll’art.1, comma 54, l</w:t>
      </w:r>
      <w:r w:rsidR="00BC13AE">
        <w:rPr>
          <w:rFonts w:ascii="Bodoni MT" w:hAnsi="Bodoni MT"/>
        </w:rPr>
        <w:t>. n.</w:t>
      </w:r>
      <w:r w:rsidR="00441B6C">
        <w:rPr>
          <w:rFonts w:ascii="Bodoni MT" w:hAnsi="Bodoni MT"/>
        </w:rPr>
        <w:t xml:space="preserve">266/2005, </w:t>
      </w:r>
      <w:r w:rsidR="008F668E">
        <w:rPr>
          <w:rFonts w:ascii="Bodoni MT" w:hAnsi="Bodoni MT"/>
        </w:rPr>
        <w:t>“</w:t>
      </w:r>
      <w:r w:rsidR="00441B6C" w:rsidRPr="00441B6C">
        <w:rPr>
          <w:rFonts w:ascii="Bodoni MT" w:hAnsi="Bodoni MT"/>
        </w:rPr>
        <w:t>ferma restando la ripetizione delle somme relative agli incrementi delle indennità e dei gettoni di presenza eventualmente corrisposti</w:t>
      </w:r>
      <w:r w:rsidR="008F668E">
        <w:rPr>
          <w:rFonts w:ascii="Bodoni MT" w:hAnsi="Bodoni MT"/>
        </w:rPr>
        <w:t>”)</w:t>
      </w:r>
      <w:r w:rsidR="00441B6C">
        <w:rPr>
          <w:rFonts w:ascii="Bodoni MT" w:hAnsi="Bodoni MT"/>
        </w:rPr>
        <w:t>, chiede sapere</w:t>
      </w:r>
      <w:r w:rsidR="00287766">
        <w:rPr>
          <w:rFonts w:ascii="Bodoni MT" w:hAnsi="Bodoni MT"/>
        </w:rPr>
        <w:t xml:space="preserve"> </w:t>
      </w:r>
      <w:r w:rsidR="008F668E">
        <w:rPr>
          <w:rFonts w:ascii="Bodoni MT" w:hAnsi="Bodoni MT"/>
        </w:rPr>
        <w:t xml:space="preserve">se nel caso di specie la percezione sia avvenuta in assenza </w:t>
      </w:r>
      <w:r w:rsidR="00287766">
        <w:rPr>
          <w:rFonts w:ascii="Bodoni MT" w:hAnsi="Bodoni MT"/>
        </w:rPr>
        <w:t xml:space="preserve">o meno </w:t>
      </w:r>
      <w:r w:rsidR="008F668E">
        <w:rPr>
          <w:rFonts w:ascii="Bodoni MT" w:hAnsi="Bodoni MT"/>
        </w:rPr>
        <w:t>di colpa grave</w:t>
      </w:r>
      <w:r w:rsidR="008B6266">
        <w:rPr>
          <w:rFonts w:ascii="Bodoni MT" w:hAnsi="Bodoni MT"/>
        </w:rPr>
        <w:t xml:space="preserve"> </w:t>
      </w:r>
      <w:r w:rsidR="003F5E55">
        <w:rPr>
          <w:rFonts w:ascii="Bodoni MT" w:hAnsi="Bodoni MT"/>
        </w:rPr>
        <w:t xml:space="preserve">e dalla ripetizione delle maggiori somme indebitamente corrisposte possano escludersi quelle percepite tra il 2008 e il 2012; all’uopo </w:t>
      </w:r>
      <w:r w:rsidR="008B6266">
        <w:rPr>
          <w:rFonts w:ascii="Bodoni MT" w:hAnsi="Bodoni MT"/>
        </w:rPr>
        <w:t>evidenziando che “l’eventuale responsabilità nella quale gli amministratori pubblici siano incorsi pare, nel caso di specie, derivare da una errata lettura del testo normativo causata dal mancato o imperfetto funzionamento degli strumenti interpretativi a disposizione dei soggetti stessi … che potrebbe portare ad escludere la colpa grave</w:t>
      </w:r>
      <w:r w:rsidR="003F5E55">
        <w:rPr>
          <w:rFonts w:ascii="Bodoni MT" w:hAnsi="Bodoni MT"/>
        </w:rPr>
        <w:t>…”.</w:t>
      </w:r>
    </w:p>
    <w:p w:rsidR="006E3583" w:rsidRPr="00AD363E" w:rsidRDefault="006E3583" w:rsidP="00DD5CB9">
      <w:pPr>
        <w:spacing w:before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>Secondo con</w:t>
      </w:r>
      <w:r w:rsidR="00DD5CB9">
        <w:rPr>
          <w:rFonts w:ascii="Bodoni MT" w:hAnsi="Bodoni MT"/>
          <w:lang w:eastAsia="en-US"/>
        </w:rPr>
        <w:t>solidati orientamenti dell’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="00DD5CB9">
        <w:rPr>
          <w:rFonts w:ascii="Bodoni MT" w:hAnsi="Bodoni MT"/>
          <w:lang w:eastAsia="en-US"/>
        </w:rPr>
        <w:t xml:space="preserve">contabile circa i </w:t>
      </w:r>
      <w:r w:rsidRPr="00AD363E">
        <w:rPr>
          <w:rFonts w:ascii="Bodoni MT" w:hAnsi="Bodoni MT"/>
          <w:lang w:eastAsia="en-US"/>
        </w:rPr>
        <w:t xml:space="preserve">pareri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>
        <w:rPr>
          <w:rFonts w:ascii="Bodoni MT" w:hAnsi="Bodoni MT"/>
          <w:lang w:eastAsia="en-US"/>
        </w:rPr>
        <w:t>ri requisiti di ammissibilità,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soggettivo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>con riferimento alla legittimazi</w:t>
      </w:r>
      <w:r w:rsidR="00DD5CB9">
        <w:rPr>
          <w:rFonts w:ascii="Bodoni MT" w:hAnsi="Bodoni MT"/>
          <w:lang w:eastAsia="en-US"/>
        </w:rPr>
        <w:t>one del richiedente</w:t>
      </w:r>
      <w:r w:rsidR="00E20B45">
        <w:rPr>
          <w:rFonts w:ascii="Bodoni MT" w:hAnsi="Bodoni MT"/>
          <w:lang w:eastAsia="en-US"/>
        </w:rPr>
        <w:t>)</w:t>
      </w:r>
      <w:r w:rsidR="00DD5CB9">
        <w:rPr>
          <w:rFonts w:ascii="Bodoni MT" w:hAnsi="Bodoni MT"/>
          <w:lang w:eastAsia="en-US"/>
        </w:rPr>
        <w:t xml:space="preserve"> e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 xml:space="preserve">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="00DD5CB9">
        <w:rPr>
          <w:rFonts w:ascii="Bodoni MT" w:hAnsi="Bodoni MT"/>
          <w:lang w:eastAsia="en-US"/>
        </w:rPr>
        <w:t>previst</w:t>
      </w:r>
      <w:r w:rsidR="003C6DC2">
        <w:rPr>
          <w:rFonts w:ascii="Bodoni MT" w:hAnsi="Bodoni MT"/>
          <w:lang w:eastAsia="en-US"/>
        </w:rPr>
        <w:t>o dalla legge; l’oggetto degli st</w:t>
      </w:r>
      <w:r w:rsidR="00DD5CB9">
        <w:rPr>
          <w:rFonts w:ascii="Bodoni MT" w:hAnsi="Bodoni MT"/>
          <w:lang w:eastAsia="en-US"/>
        </w:rPr>
        <w:t>essi).</w:t>
      </w:r>
    </w:p>
    <w:p w:rsidR="00553C6C" w:rsidRDefault="003C6DC2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Tuttavia, nel caso di specie, la Sezione ritiene di poter prescindere dall’esaminare </w:t>
      </w:r>
      <w:r w:rsidR="00553C6C" w:rsidRPr="00553C6C">
        <w:rPr>
          <w:rFonts w:ascii="Bodoni MT" w:hAnsi="Bodoni MT"/>
          <w:i/>
          <w:lang w:eastAsia="en-US"/>
        </w:rPr>
        <w:t>funditus</w:t>
      </w:r>
      <w:r w:rsidR="00553C6C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 xml:space="preserve">i profili inerenti l’ammissibilità soggettiva e quella oggettiva, dal momento che la richiesta </w:t>
      </w:r>
      <w:r w:rsidRPr="003C6DC2">
        <w:rPr>
          <w:rFonts w:ascii="Bodoni MT" w:hAnsi="Bodoni MT"/>
          <w:i/>
          <w:lang w:eastAsia="en-US"/>
        </w:rPr>
        <w:t>de qua</w:t>
      </w:r>
      <w:r>
        <w:rPr>
          <w:rFonts w:ascii="Bodoni MT" w:hAnsi="Bodoni MT"/>
          <w:lang w:eastAsia="en-US"/>
        </w:rPr>
        <w:t xml:space="preserve"> </w:t>
      </w:r>
      <w:r w:rsidR="00553C6C">
        <w:rPr>
          <w:rFonts w:ascii="Bodoni MT" w:hAnsi="Bodoni MT"/>
          <w:lang w:eastAsia="en-US"/>
        </w:rPr>
        <w:t>è comunque inammissibile per la</w:t>
      </w:r>
      <w:r w:rsidR="003F5E55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>pregiudiziale e dirimente considerazione che essa</w:t>
      </w:r>
      <w:r w:rsidR="00553C6C">
        <w:rPr>
          <w:rFonts w:ascii="Bodoni MT" w:hAnsi="Bodoni MT"/>
          <w:lang w:eastAsia="en-US"/>
        </w:rPr>
        <w:t xml:space="preserve">, oltre a riguardare una specifica e concreta vicenda </w:t>
      </w:r>
      <w:r w:rsidR="00553C6C">
        <w:rPr>
          <w:rFonts w:ascii="Bodoni MT" w:hAnsi="Bodoni MT"/>
          <w:lang w:eastAsia="en-US"/>
        </w:rPr>
        <w:lastRenderedPageBreak/>
        <w:t>gestionale, investe profili che potrebbero essere oggetto giudizi di responsabilità amministrativo-contabile, cosicché la pronuncia di questa Sezione interferirebbe con le prerogative delle articolazioni giurisdizionali di questa Corte.</w:t>
      </w:r>
    </w:p>
    <w:p w:rsidR="00553C6C" w:rsidRDefault="00553C6C" w:rsidP="00553C6C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Com’è noto, infatti, che </w:t>
      </w:r>
      <w:r>
        <w:rPr>
          <w:rFonts w:ascii="Bodoni MT" w:hAnsi="Bodoni MT"/>
          <w:spacing w:val="-1"/>
          <w:lang w:eastAsia="en-US"/>
        </w:rPr>
        <w:t xml:space="preserve">l’ammissibilità </w:t>
      </w:r>
      <w:r>
        <w:rPr>
          <w:rFonts w:ascii="Bodoni MT" w:hAnsi="Bodoni MT"/>
          <w:i/>
          <w:lang w:eastAsia="en-US"/>
        </w:rPr>
        <w:t>oggettiva</w:t>
      </w:r>
      <w:r>
        <w:rPr>
          <w:rFonts w:ascii="Bodoni MT" w:hAnsi="Bodoni MT"/>
          <w:spacing w:val="-1"/>
          <w:lang w:eastAsia="en-US"/>
        </w:rPr>
        <w:t xml:space="preserve"> delle richieste di parere è subordinata </w:t>
      </w:r>
      <w:r>
        <w:rPr>
          <w:rFonts w:ascii="Bodoni MT" w:hAnsi="Bodoni MT"/>
          <w:lang w:eastAsia="en-US"/>
        </w:rPr>
        <w:t xml:space="preserve">alla condizione che la richiesta di parere, pur senza trasmodare in un’assoluta astrattezza che impedisca di individuare uno specifico e concreto interesse ad ottenere la pronunzia, riguardi quesiti interpretativi di carattere generale che - secondo i principi enunciato dalla Sezione Autonomie di questa Corte (n.5/2006), cui questa Sezione si è </w:t>
      </w:r>
      <w:r>
        <w:rPr>
          <w:rFonts w:ascii="Bodoni MT" w:hAnsi="Bodoni MT"/>
        </w:rPr>
        <w:t>finora costantemente attenuta (v</w:t>
      </w:r>
      <w:r>
        <w:rPr>
          <w:rFonts w:ascii="Bodoni MT" w:hAnsi="Bodoni MT"/>
          <w:lang w:eastAsia="en-US"/>
        </w:rPr>
        <w:t xml:space="preserve">. </w:t>
      </w:r>
      <w:r>
        <w:rPr>
          <w:rFonts w:ascii="Bodoni MT" w:hAnsi="Bodoni MT"/>
          <w:i/>
          <w:lang w:eastAsia="en-US"/>
        </w:rPr>
        <w:t>ex multis</w:t>
      </w:r>
      <w:r>
        <w:rPr>
          <w:rFonts w:ascii="Bodoni MT" w:hAnsi="Bodoni MT"/>
          <w:lang w:eastAsia="en-US"/>
        </w:rPr>
        <w:t xml:space="preserve"> pareri n.20/2008 e n.14/2013) </w:t>
      </w:r>
      <w:r>
        <w:rPr>
          <w:rFonts w:ascii="Bodoni MT" w:hAnsi="Bodoni MT"/>
        </w:rPr>
        <w:t>e da cui non ha motivo di discostarsi</w:t>
      </w:r>
      <w:r>
        <w:rPr>
          <w:rFonts w:ascii="Bodoni MT" w:hAnsi="Bodoni MT"/>
          <w:lang w:eastAsia="en-US"/>
        </w:rPr>
        <w:t xml:space="preserve"> - non comportino un’ingerenza della Corte in singole e specifiche attività gestionali e vicende amministrative </w:t>
      </w:r>
      <w:r>
        <w:rPr>
          <w:rFonts w:ascii="Bodoni MT" w:hAnsi="Bodoni MT"/>
          <w:i/>
          <w:lang w:eastAsia="en-US"/>
        </w:rPr>
        <w:t xml:space="preserve">in itinere </w:t>
      </w:r>
      <w:r>
        <w:rPr>
          <w:rFonts w:ascii="Bodoni MT" w:hAnsi="Bodoni MT"/>
          <w:lang w:eastAsia="en-US"/>
        </w:rPr>
        <w:t xml:space="preserve">né valutazione di concreti comportamenti amministrativi, </w:t>
      </w:r>
      <w:r>
        <w:rPr>
          <w:rFonts w:ascii="Bodoni MT" w:hAnsi="Bodoni MT"/>
          <w:i/>
          <w:lang w:eastAsia="en-US"/>
        </w:rPr>
        <w:t>a fortiori</w:t>
      </w:r>
      <w:r>
        <w:rPr>
          <w:rFonts w:ascii="Bodoni MT" w:hAnsi="Bodoni MT"/>
          <w:lang w:eastAsia="en-US"/>
        </w:rPr>
        <w:t xml:space="preserve"> se inerenti fatti che sono (o possono divenire) oggetto di indagini o giudizi di responsabilità amministrativo-contabile o penale o di altri contenziosi giudiziari.</w:t>
      </w:r>
    </w:p>
    <w:p w:rsidR="00553C6C" w:rsidRDefault="00553C6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F35164">
        <w:rPr>
          <w:rFonts w:ascii="Bodoni MT" w:hAnsi="Bodoni MT"/>
        </w:rPr>
        <w:t xml:space="preserve">indaco di </w:t>
      </w:r>
      <w:r w:rsidR="00A53D08">
        <w:rPr>
          <w:rFonts w:ascii="Bodoni MT" w:hAnsi="Bodoni MT"/>
        </w:rPr>
        <w:t>Pisa</w:t>
      </w:r>
      <w:r w:rsidR="00BB4BF0">
        <w:rPr>
          <w:rFonts w:ascii="Bodoni MT" w:hAnsi="Bodoni MT"/>
        </w:rPr>
        <w:t>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7266DA">
        <w:rPr>
          <w:rFonts w:ascii="Bodoni MT" w:hAnsi="Bodoni MT"/>
        </w:rPr>
        <w:t>20 giugno</w:t>
      </w:r>
      <w:r>
        <w:rPr>
          <w:rFonts w:ascii="Bodoni MT" w:hAnsi="Bodoni MT"/>
        </w:rPr>
        <w:t xml:space="preserve"> 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E87405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A53D08">
        <w:rPr>
          <w:rFonts w:ascii="Bodoni MT" w:hAnsi="Bodoni MT"/>
        </w:rPr>
        <w:t xml:space="preserve">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3D08">
        <w:rPr>
          <w:rFonts w:ascii="Bodoni MT" w:hAnsi="Bodoni MT"/>
        </w:rPr>
        <w:tab/>
      </w:r>
      <w:r>
        <w:rPr>
          <w:rFonts w:ascii="Bodoni MT" w:hAnsi="Bodoni MT"/>
        </w:rPr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Pr="00FB1552" w:rsidRDefault="009B6BD7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FF75D7">
        <w:rPr>
          <w:rFonts w:ascii="Bodoni MT" w:hAnsi="Bodoni MT"/>
        </w:rPr>
        <w:t>20 giugno 2017</w:t>
      </w:r>
    </w:p>
    <w:p w:rsidR="00540E24" w:rsidRDefault="00E762A4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p. </w:t>
      </w:r>
      <w:r w:rsidR="009B6BD7"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540E24">
        <w:rPr>
          <w:rFonts w:ascii="Bodoni MT" w:hAnsi="Bodoni MT"/>
        </w:rPr>
        <w:t xml:space="preserve">                  </w:t>
      </w:r>
      <w:r w:rsidR="00E762A4">
        <w:rPr>
          <w:rFonts w:ascii="Bodoni MT" w:hAnsi="Bodoni MT"/>
        </w:rPr>
        <w:t xml:space="preserve">   </w:t>
      </w:r>
      <w:r w:rsidR="00E87405">
        <w:rPr>
          <w:rFonts w:ascii="Bodoni MT" w:hAnsi="Bodoni MT"/>
        </w:rPr>
        <w:t>f.to</w:t>
      </w:r>
      <w:r w:rsidR="00E762A4">
        <w:rPr>
          <w:rFonts w:ascii="Bodoni MT" w:hAnsi="Bodoni MT"/>
        </w:rPr>
        <w:t xml:space="preserve"> Simona Croppi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92" w:rsidRDefault="00BE7992">
      <w:r>
        <w:separator/>
      </w:r>
    </w:p>
  </w:endnote>
  <w:endnote w:type="continuationSeparator" w:id="0">
    <w:p w:rsidR="00BE7992" w:rsidRDefault="00BE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B248AE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92" w:rsidRDefault="00BE7992">
      <w:r>
        <w:separator/>
      </w:r>
    </w:p>
  </w:footnote>
  <w:footnote w:type="continuationSeparator" w:id="0">
    <w:p w:rsidR="00BE7992" w:rsidRDefault="00BE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2858"/>
    <w:rsid w:val="001A416D"/>
    <w:rsid w:val="001A7760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2228"/>
    <w:rsid w:val="002224FC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946"/>
    <w:rsid w:val="003C2168"/>
    <w:rsid w:val="003C6379"/>
    <w:rsid w:val="003C6DC2"/>
    <w:rsid w:val="003D1AEA"/>
    <w:rsid w:val="003D3E62"/>
    <w:rsid w:val="003E1174"/>
    <w:rsid w:val="003E2358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169D"/>
    <w:rsid w:val="00423C0A"/>
    <w:rsid w:val="00425A8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5077A"/>
    <w:rsid w:val="00450D56"/>
    <w:rsid w:val="004519E2"/>
    <w:rsid w:val="00453E9D"/>
    <w:rsid w:val="004546BC"/>
    <w:rsid w:val="00455F67"/>
    <w:rsid w:val="00464841"/>
    <w:rsid w:val="00467914"/>
    <w:rsid w:val="00473DA0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C58"/>
    <w:rsid w:val="005628E8"/>
    <w:rsid w:val="00563C6D"/>
    <w:rsid w:val="00564F1A"/>
    <w:rsid w:val="005656C9"/>
    <w:rsid w:val="0056642D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3984"/>
    <w:rsid w:val="00606F51"/>
    <w:rsid w:val="00607A94"/>
    <w:rsid w:val="00607C93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D2B"/>
    <w:rsid w:val="007266DA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556EB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668E"/>
    <w:rsid w:val="009015A8"/>
    <w:rsid w:val="00902125"/>
    <w:rsid w:val="009021E6"/>
    <w:rsid w:val="00903E6B"/>
    <w:rsid w:val="009044CD"/>
    <w:rsid w:val="00906A0F"/>
    <w:rsid w:val="00910DB5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4ECF"/>
    <w:rsid w:val="00947628"/>
    <w:rsid w:val="009525D3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6EC2"/>
    <w:rsid w:val="00B02A04"/>
    <w:rsid w:val="00B032AC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8AE"/>
    <w:rsid w:val="00B24DE1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E2957"/>
    <w:rsid w:val="00BE3EEF"/>
    <w:rsid w:val="00BE7992"/>
    <w:rsid w:val="00BF0AA9"/>
    <w:rsid w:val="00BF31AF"/>
    <w:rsid w:val="00BF3792"/>
    <w:rsid w:val="00BF37BE"/>
    <w:rsid w:val="00C05329"/>
    <w:rsid w:val="00C06CAF"/>
    <w:rsid w:val="00C072C4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886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5CB9"/>
    <w:rsid w:val="00DD745E"/>
    <w:rsid w:val="00DE5D70"/>
    <w:rsid w:val="00DE70DF"/>
    <w:rsid w:val="00DF04E1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2E0C"/>
    <w:rsid w:val="00E45FFE"/>
    <w:rsid w:val="00E46754"/>
    <w:rsid w:val="00E522BE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762A4"/>
    <w:rsid w:val="00E807A2"/>
    <w:rsid w:val="00E8507E"/>
    <w:rsid w:val="00E86398"/>
    <w:rsid w:val="00E87405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93566-9A36-40B0-8FA2-82CE6907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2017-06-21T09:58:00Z</dcterms:created>
  <dcterms:modified xsi:type="dcterms:W3CDTF">2017-06-21T09:58:00Z</dcterms:modified>
</cp:coreProperties>
</file>