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1C8B" w:rsidRDefault="007E1C8B" w:rsidP="00FE60C8">
      <w:pPr>
        <w:spacing w:after="0" w:line="360" w:lineRule="auto"/>
        <w:ind w:left="180" w:right="98" w:firstLine="540"/>
        <w:jc w:val="both"/>
        <w:rPr>
          <w:rFonts w:ascii="Verdana" w:eastAsia="Times New Roman" w:hAnsi="Verdana" w:cs="Times New Roman"/>
          <w:sz w:val="20"/>
          <w:szCs w:val="20"/>
          <w:lang w:eastAsia="it-IT"/>
        </w:rPr>
      </w:pPr>
    </w:p>
    <w:p w:rsidR="00FE60C8" w:rsidRDefault="00034474" w:rsidP="00FE60C8">
      <w:pPr>
        <w:spacing w:after="0" w:line="360" w:lineRule="auto"/>
        <w:ind w:left="180" w:right="98" w:firstLine="540"/>
        <w:jc w:val="both"/>
        <w:rPr>
          <w:rFonts w:ascii="Verdana" w:eastAsia="Times New Roman" w:hAnsi="Verdana" w:cs="Times New Roman"/>
          <w:sz w:val="20"/>
          <w:szCs w:val="20"/>
          <w:lang w:eastAsia="it-IT"/>
        </w:rPr>
      </w:pPr>
      <w:r>
        <w:rPr>
          <w:rFonts w:ascii="Verdana" w:eastAsia="Times New Roman" w:hAnsi="Verdana" w:cs="Times New Roman"/>
          <w:sz w:val="20"/>
          <w:szCs w:val="20"/>
          <w:lang w:eastAsia="it-IT"/>
        </w:rPr>
        <w:t>Del. n.</w:t>
      </w:r>
      <w:r w:rsidR="00A8786F">
        <w:rPr>
          <w:rFonts w:ascii="Verdana" w:eastAsia="Times New Roman" w:hAnsi="Verdana" w:cs="Times New Roman"/>
          <w:sz w:val="20"/>
          <w:szCs w:val="20"/>
          <w:lang w:eastAsia="it-IT"/>
        </w:rPr>
        <w:t xml:space="preserve"> 189</w:t>
      </w:r>
      <w:r w:rsidR="00FE60C8" w:rsidRPr="00FE60C8">
        <w:rPr>
          <w:rFonts w:ascii="Verdana" w:eastAsia="Times New Roman" w:hAnsi="Verdana" w:cs="Times New Roman"/>
          <w:sz w:val="20"/>
          <w:szCs w:val="20"/>
          <w:lang w:eastAsia="it-IT"/>
        </w:rPr>
        <w:t>/2014/PAR</w:t>
      </w:r>
    </w:p>
    <w:p w:rsidR="00E84D1F" w:rsidRPr="00FE60C8" w:rsidRDefault="00E84D1F" w:rsidP="00FE60C8">
      <w:pPr>
        <w:spacing w:after="0" w:line="360" w:lineRule="auto"/>
        <w:ind w:left="180" w:right="98" w:firstLine="540"/>
        <w:jc w:val="both"/>
        <w:rPr>
          <w:rFonts w:ascii="Verdana" w:eastAsia="Times New Roman" w:hAnsi="Verdana" w:cs="Times New Roman"/>
          <w:sz w:val="20"/>
          <w:szCs w:val="20"/>
          <w:lang w:eastAsia="it-IT"/>
        </w:rPr>
      </w:pPr>
    </w:p>
    <w:p w:rsidR="00FE60C8" w:rsidRPr="00FE60C8" w:rsidRDefault="00FE60C8" w:rsidP="00FE60C8">
      <w:pPr>
        <w:spacing w:after="0" w:line="360" w:lineRule="auto"/>
        <w:ind w:left="180" w:right="98" w:firstLine="540"/>
        <w:jc w:val="center"/>
        <w:rPr>
          <w:rFonts w:ascii="Verdana" w:eastAsia="Times New Roman" w:hAnsi="Verdana" w:cs="Times New Roman"/>
          <w:sz w:val="20"/>
          <w:szCs w:val="20"/>
          <w:lang w:eastAsia="it-IT"/>
        </w:rPr>
      </w:pPr>
      <w:r w:rsidRPr="00FE60C8">
        <w:rPr>
          <w:rFonts w:ascii="Verdana" w:eastAsia="Times New Roman" w:hAnsi="Verdana" w:cs="Times New Roman"/>
          <w:sz w:val="20"/>
          <w:szCs w:val="20"/>
          <w:lang w:eastAsia="it-IT"/>
        </w:rPr>
        <w:object w:dxaOrig="2520" w:dyaOrig="1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1.25pt;height:72.75pt" o:ole="">
            <v:imagedata r:id="rId8" o:title=""/>
          </v:shape>
          <o:OLEObject Type="Embed" ProgID="Word.Picture.8" ShapeID="_x0000_i1025" DrawAspect="Content" ObjectID="_1474965849" r:id="rId9"/>
        </w:object>
      </w:r>
    </w:p>
    <w:p w:rsidR="00FE60C8" w:rsidRDefault="00FE60C8" w:rsidP="00FE60C8">
      <w:pPr>
        <w:spacing w:after="0" w:line="360" w:lineRule="auto"/>
        <w:ind w:left="180" w:right="96" w:firstLine="539"/>
        <w:jc w:val="center"/>
        <w:rPr>
          <w:rFonts w:ascii="Verdana" w:eastAsia="Times New Roman" w:hAnsi="Verdana" w:cs="Times New Roman"/>
          <w:sz w:val="20"/>
          <w:szCs w:val="20"/>
          <w:lang w:eastAsia="it-IT"/>
        </w:rPr>
      </w:pPr>
      <w:r w:rsidRPr="00FE60C8">
        <w:rPr>
          <w:rFonts w:ascii="Verdana" w:eastAsia="Times New Roman" w:hAnsi="Verdana" w:cs="Times New Roman"/>
          <w:sz w:val="20"/>
          <w:szCs w:val="20"/>
          <w:lang w:eastAsia="it-IT"/>
        </w:rPr>
        <w:t>Sezione Regionale di Controllo per la Toscana</w:t>
      </w:r>
    </w:p>
    <w:p w:rsidR="007C3CB0" w:rsidRPr="00FE60C8" w:rsidRDefault="007C3CB0" w:rsidP="00FE60C8">
      <w:pPr>
        <w:spacing w:after="0" w:line="360" w:lineRule="auto"/>
        <w:ind w:left="180" w:right="96" w:firstLine="539"/>
        <w:jc w:val="center"/>
        <w:rPr>
          <w:rFonts w:ascii="Verdana" w:eastAsia="Times New Roman" w:hAnsi="Verdana" w:cs="Times New Roman"/>
          <w:sz w:val="20"/>
          <w:szCs w:val="20"/>
          <w:lang w:eastAsia="it-IT"/>
        </w:rPr>
      </w:pPr>
    </w:p>
    <w:p w:rsidR="00FE60C8" w:rsidRPr="00FE60C8" w:rsidRDefault="00FE60C8" w:rsidP="007C3CB0">
      <w:pPr>
        <w:spacing w:after="0" w:line="360" w:lineRule="auto"/>
        <w:ind w:right="96" w:firstLine="709"/>
        <w:rPr>
          <w:rFonts w:ascii="Verdana" w:eastAsia="Times New Roman" w:hAnsi="Verdana" w:cs="Times New Roman"/>
          <w:sz w:val="20"/>
          <w:szCs w:val="20"/>
          <w:lang w:eastAsia="it-IT"/>
        </w:rPr>
      </w:pPr>
      <w:r w:rsidRPr="00FE60C8">
        <w:rPr>
          <w:rFonts w:ascii="Verdana" w:eastAsia="Times New Roman" w:hAnsi="Verdana" w:cs="Times New Roman"/>
          <w:sz w:val="20"/>
          <w:szCs w:val="20"/>
          <w:lang w:eastAsia="it-IT"/>
        </w:rPr>
        <w:t>composta dai magistrati:</w:t>
      </w:r>
    </w:p>
    <w:p w:rsidR="00FE60C8" w:rsidRDefault="00FE60C8" w:rsidP="00FE60C8">
      <w:pPr>
        <w:spacing w:after="0" w:line="360" w:lineRule="auto"/>
        <w:ind w:right="98"/>
        <w:jc w:val="both"/>
        <w:rPr>
          <w:rFonts w:ascii="Verdana" w:eastAsia="Times New Roman" w:hAnsi="Verdana" w:cs="Times New Roman"/>
          <w:sz w:val="20"/>
          <w:szCs w:val="20"/>
          <w:lang w:eastAsia="it-IT"/>
        </w:rPr>
      </w:pPr>
    </w:p>
    <w:p w:rsidR="00FE60C8" w:rsidRPr="00FE60C8" w:rsidRDefault="00FE60C8" w:rsidP="00FE60C8">
      <w:pPr>
        <w:spacing w:after="0" w:line="360" w:lineRule="auto"/>
        <w:ind w:left="720" w:right="98"/>
        <w:jc w:val="both"/>
        <w:rPr>
          <w:rFonts w:ascii="Verdana" w:eastAsia="Times New Roman" w:hAnsi="Verdana" w:cs="Times New Roman"/>
          <w:sz w:val="20"/>
          <w:szCs w:val="20"/>
          <w:lang w:eastAsia="it-IT"/>
        </w:rPr>
      </w:pPr>
      <w:r w:rsidRPr="00FE60C8">
        <w:rPr>
          <w:rFonts w:ascii="Verdana" w:eastAsia="Times New Roman" w:hAnsi="Verdana" w:cs="Times New Roman"/>
          <w:sz w:val="20"/>
          <w:szCs w:val="20"/>
          <w:lang w:eastAsia="it-IT"/>
        </w:rPr>
        <w:t>Gaetano D’AURIA</w:t>
      </w:r>
      <w:r w:rsidRPr="00FE60C8">
        <w:rPr>
          <w:rFonts w:ascii="Verdana" w:eastAsia="Times New Roman" w:hAnsi="Verdana" w:cs="Times New Roman"/>
          <w:sz w:val="20"/>
          <w:szCs w:val="20"/>
          <w:lang w:eastAsia="it-IT"/>
        </w:rPr>
        <w:tab/>
      </w:r>
      <w:r w:rsidRPr="00FE60C8">
        <w:rPr>
          <w:rFonts w:ascii="Verdana" w:eastAsia="Times New Roman" w:hAnsi="Verdana" w:cs="Times New Roman"/>
          <w:sz w:val="20"/>
          <w:szCs w:val="20"/>
          <w:lang w:eastAsia="it-IT"/>
        </w:rPr>
        <w:tab/>
      </w:r>
      <w:r w:rsidRPr="00FE60C8">
        <w:rPr>
          <w:rFonts w:ascii="Verdana" w:eastAsia="Times New Roman" w:hAnsi="Verdana" w:cs="Times New Roman"/>
          <w:sz w:val="20"/>
          <w:szCs w:val="20"/>
          <w:lang w:eastAsia="it-IT"/>
        </w:rPr>
        <w:tab/>
      </w:r>
      <w:r w:rsidRPr="00FE60C8">
        <w:rPr>
          <w:rFonts w:ascii="Verdana" w:eastAsia="Times New Roman" w:hAnsi="Verdana" w:cs="Times New Roman"/>
          <w:sz w:val="20"/>
          <w:szCs w:val="20"/>
          <w:lang w:eastAsia="it-IT"/>
        </w:rPr>
        <w:tab/>
      </w:r>
      <w:r w:rsidRPr="00FE60C8">
        <w:rPr>
          <w:rFonts w:ascii="Verdana" w:eastAsia="Times New Roman" w:hAnsi="Verdana" w:cs="Times New Roman"/>
          <w:sz w:val="20"/>
          <w:szCs w:val="20"/>
          <w:lang w:eastAsia="it-IT"/>
        </w:rPr>
        <w:tab/>
        <w:t>presidente</w:t>
      </w:r>
    </w:p>
    <w:p w:rsidR="00FE60C8" w:rsidRDefault="00FE60C8" w:rsidP="0059648D">
      <w:pPr>
        <w:spacing w:after="0" w:line="360" w:lineRule="auto"/>
        <w:ind w:left="720" w:right="98"/>
        <w:jc w:val="both"/>
        <w:rPr>
          <w:rFonts w:ascii="Verdana" w:eastAsia="Times New Roman" w:hAnsi="Verdana" w:cs="Times New Roman"/>
          <w:sz w:val="20"/>
          <w:szCs w:val="20"/>
          <w:lang w:eastAsia="it-IT"/>
        </w:rPr>
      </w:pPr>
      <w:r w:rsidRPr="00FE60C8">
        <w:rPr>
          <w:rFonts w:ascii="Verdana" w:eastAsia="Times New Roman" w:hAnsi="Verdana" w:cs="Times New Roman"/>
          <w:sz w:val="20"/>
          <w:szCs w:val="20"/>
          <w:lang w:eastAsia="it-IT"/>
        </w:rPr>
        <w:t>Paolo PELUFFO</w:t>
      </w:r>
      <w:r w:rsidRPr="00FE60C8">
        <w:rPr>
          <w:rFonts w:ascii="Verdana" w:eastAsia="Times New Roman" w:hAnsi="Verdana" w:cs="Times New Roman"/>
          <w:sz w:val="20"/>
          <w:szCs w:val="20"/>
          <w:lang w:eastAsia="it-IT"/>
        </w:rPr>
        <w:tab/>
      </w:r>
      <w:r w:rsidRPr="00FE60C8">
        <w:rPr>
          <w:rFonts w:ascii="Verdana" w:eastAsia="Times New Roman" w:hAnsi="Verdana" w:cs="Times New Roman"/>
          <w:sz w:val="20"/>
          <w:szCs w:val="20"/>
          <w:lang w:eastAsia="it-IT"/>
        </w:rPr>
        <w:tab/>
      </w:r>
      <w:r w:rsidRPr="00FE60C8">
        <w:rPr>
          <w:rFonts w:ascii="Verdana" w:eastAsia="Times New Roman" w:hAnsi="Verdana" w:cs="Times New Roman"/>
          <w:sz w:val="20"/>
          <w:szCs w:val="20"/>
          <w:lang w:eastAsia="it-IT"/>
        </w:rPr>
        <w:tab/>
      </w:r>
      <w:r w:rsidRPr="00FE60C8">
        <w:rPr>
          <w:rFonts w:ascii="Verdana" w:eastAsia="Times New Roman" w:hAnsi="Verdana" w:cs="Times New Roman"/>
          <w:sz w:val="20"/>
          <w:szCs w:val="20"/>
          <w:lang w:eastAsia="it-IT"/>
        </w:rPr>
        <w:tab/>
      </w:r>
      <w:r w:rsidRPr="00FE60C8">
        <w:rPr>
          <w:rFonts w:ascii="Verdana" w:eastAsia="Times New Roman" w:hAnsi="Verdana" w:cs="Times New Roman"/>
          <w:sz w:val="20"/>
          <w:szCs w:val="20"/>
          <w:lang w:eastAsia="it-IT"/>
        </w:rPr>
        <w:tab/>
        <w:t>consigliere</w:t>
      </w:r>
    </w:p>
    <w:p w:rsidR="00FE60C8" w:rsidRPr="00FE60C8" w:rsidRDefault="00FE60C8" w:rsidP="00FE60C8">
      <w:pPr>
        <w:spacing w:after="0" w:line="360" w:lineRule="auto"/>
        <w:ind w:left="720" w:right="98"/>
        <w:jc w:val="both"/>
        <w:rPr>
          <w:rFonts w:ascii="Verdana" w:eastAsia="Times New Roman" w:hAnsi="Verdana" w:cs="Times New Roman"/>
          <w:sz w:val="20"/>
          <w:szCs w:val="20"/>
          <w:lang w:eastAsia="it-IT"/>
        </w:rPr>
      </w:pPr>
      <w:r w:rsidRPr="00FE60C8">
        <w:rPr>
          <w:rFonts w:ascii="Verdana" w:eastAsia="Times New Roman" w:hAnsi="Verdana" w:cs="Times New Roman"/>
          <w:sz w:val="20"/>
          <w:szCs w:val="20"/>
          <w:lang w:eastAsia="it-IT"/>
        </w:rPr>
        <w:t>Emilia TRISCIUOGLIO</w:t>
      </w:r>
      <w:r w:rsidRPr="00FE60C8">
        <w:rPr>
          <w:rFonts w:ascii="Verdana" w:eastAsia="Times New Roman" w:hAnsi="Verdana" w:cs="Times New Roman"/>
          <w:sz w:val="20"/>
          <w:szCs w:val="20"/>
          <w:lang w:eastAsia="it-IT"/>
        </w:rPr>
        <w:tab/>
      </w:r>
      <w:r w:rsidRPr="00FE60C8">
        <w:rPr>
          <w:rFonts w:ascii="Verdana" w:eastAsia="Times New Roman" w:hAnsi="Verdana" w:cs="Times New Roman"/>
          <w:sz w:val="20"/>
          <w:szCs w:val="20"/>
          <w:lang w:eastAsia="it-IT"/>
        </w:rPr>
        <w:tab/>
      </w:r>
      <w:r w:rsidRPr="00FE60C8">
        <w:rPr>
          <w:rFonts w:ascii="Verdana" w:eastAsia="Times New Roman" w:hAnsi="Verdana" w:cs="Times New Roman"/>
          <w:sz w:val="20"/>
          <w:szCs w:val="20"/>
          <w:lang w:eastAsia="it-IT"/>
        </w:rPr>
        <w:tab/>
      </w:r>
      <w:r w:rsidRPr="00FE60C8">
        <w:rPr>
          <w:rFonts w:ascii="Verdana" w:eastAsia="Times New Roman" w:hAnsi="Verdana" w:cs="Times New Roman"/>
          <w:sz w:val="20"/>
          <w:szCs w:val="20"/>
          <w:lang w:eastAsia="it-IT"/>
        </w:rPr>
        <w:tab/>
        <w:t>consigliere</w:t>
      </w:r>
      <w:r w:rsidR="00034474">
        <w:rPr>
          <w:rFonts w:ascii="Verdana" w:eastAsia="Times New Roman" w:hAnsi="Verdana" w:cs="Times New Roman"/>
          <w:sz w:val="20"/>
          <w:szCs w:val="20"/>
          <w:lang w:eastAsia="it-IT"/>
        </w:rPr>
        <w:t>,</w:t>
      </w:r>
      <w:r w:rsidR="00E22055">
        <w:rPr>
          <w:rFonts w:ascii="Verdana" w:eastAsia="Times New Roman" w:hAnsi="Verdana" w:cs="Times New Roman"/>
          <w:sz w:val="20"/>
          <w:szCs w:val="20"/>
          <w:lang w:eastAsia="it-IT"/>
        </w:rPr>
        <w:t xml:space="preserve"> </w:t>
      </w:r>
      <w:r w:rsidR="00034474">
        <w:rPr>
          <w:rFonts w:ascii="Verdana" w:eastAsia="Times New Roman" w:hAnsi="Verdana" w:cs="Times New Roman"/>
          <w:sz w:val="20"/>
          <w:szCs w:val="20"/>
          <w:lang w:eastAsia="it-IT"/>
        </w:rPr>
        <w:t>relatore</w:t>
      </w:r>
    </w:p>
    <w:p w:rsidR="00FE60C8" w:rsidRPr="00FE60C8" w:rsidRDefault="00FE60C8" w:rsidP="00FE60C8">
      <w:pPr>
        <w:spacing w:after="0" w:line="360" w:lineRule="auto"/>
        <w:ind w:left="720" w:right="98"/>
        <w:jc w:val="both"/>
        <w:rPr>
          <w:rFonts w:ascii="Verdana" w:eastAsia="Times New Roman" w:hAnsi="Verdana" w:cs="Times New Roman"/>
          <w:sz w:val="20"/>
          <w:szCs w:val="20"/>
          <w:lang w:eastAsia="it-IT"/>
        </w:rPr>
      </w:pPr>
      <w:r w:rsidRPr="00FE60C8">
        <w:rPr>
          <w:rFonts w:ascii="Verdana" w:eastAsia="Times New Roman" w:hAnsi="Verdana" w:cs="Times New Roman"/>
          <w:sz w:val="20"/>
          <w:szCs w:val="20"/>
          <w:lang w:eastAsia="it-IT"/>
        </w:rPr>
        <w:t>Laura D’AMBROSIO</w:t>
      </w:r>
      <w:r w:rsidRPr="00FE60C8">
        <w:rPr>
          <w:rFonts w:ascii="Verdana" w:eastAsia="Times New Roman" w:hAnsi="Verdana" w:cs="Times New Roman"/>
          <w:sz w:val="20"/>
          <w:szCs w:val="20"/>
          <w:lang w:eastAsia="it-IT"/>
        </w:rPr>
        <w:tab/>
      </w:r>
      <w:r w:rsidRPr="00FE60C8">
        <w:rPr>
          <w:rFonts w:ascii="Verdana" w:eastAsia="Times New Roman" w:hAnsi="Verdana" w:cs="Times New Roman"/>
          <w:sz w:val="20"/>
          <w:szCs w:val="20"/>
          <w:lang w:eastAsia="it-IT"/>
        </w:rPr>
        <w:tab/>
      </w:r>
      <w:r w:rsidRPr="00FE60C8">
        <w:rPr>
          <w:rFonts w:ascii="Verdana" w:eastAsia="Times New Roman" w:hAnsi="Verdana" w:cs="Times New Roman"/>
          <w:sz w:val="20"/>
          <w:szCs w:val="20"/>
          <w:lang w:eastAsia="it-IT"/>
        </w:rPr>
        <w:tab/>
      </w:r>
      <w:r w:rsidRPr="00FE60C8">
        <w:rPr>
          <w:rFonts w:ascii="Verdana" w:eastAsia="Times New Roman" w:hAnsi="Verdana" w:cs="Times New Roman"/>
          <w:sz w:val="20"/>
          <w:szCs w:val="20"/>
          <w:lang w:eastAsia="it-IT"/>
        </w:rPr>
        <w:tab/>
      </w:r>
      <w:r w:rsidRPr="00FE60C8">
        <w:rPr>
          <w:rFonts w:ascii="Verdana" w:eastAsia="Times New Roman" w:hAnsi="Verdana" w:cs="Times New Roman"/>
          <w:sz w:val="20"/>
          <w:szCs w:val="20"/>
          <w:lang w:eastAsia="it-IT"/>
        </w:rPr>
        <w:tab/>
        <w:t>consigliere</w:t>
      </w:r>
    </w:p>
    <w:p w:rsidR="00FE60C8" w:rsidRPr="00FE60C8" w:rsidRDefault="00FE60C8" w:rsidP="00FE60C8">
      <w:pPr>
        <w:spacing w:after="0" w:line="360" w:lineRule="auto"/>
        <w:ind w:left="720" w:right="98"/>
        <w:jc w:val="both"/>
        <w:rPr>
          <w:rFonts w:ascii="Verdana" w:eastAsia="Times New Roman" w:hAnsi="Verdana" w:cs="Times New Roman"/>
          <w:sz w:val="20"/>
          <w:szCs w:val="20"/>
          <w:lang w:eastAsia="it-IT"/>
        </w:rPr>
      </w:pPr>
    </w:p>
    <w:p w:rsidR="00FE60C8" w:rsidRPr="00FE60C8" w:rsidRDefault="00FE60C8" w:rsidP="00FE60C8">
      <w:pPr>
        <w:spacing w:after="0" w:line="360" w:lineRule="auto"/>
        <w:ind w:left="720" w:right="98"/>
        <w:jc w:val="both"/>
        <w:rPr>
          <w:rFonts w:ascii="Verdana" w:eastAsia="Times New Roman" w:hAnsi="Verdana" w:cs="Times New Roman"/>
          <w:sz w:val="20"/>
          <w:szCs w:val="20"/>
          <w:lang w:eastAsia="it-IT"/>
        </w:rPr>
      </w:pPr>
    </w:p>
    <w:p w:rsidR="00FE60C8" w:rsidRPr="00FE60C8" w:rsidRDefault="00FE60C8" w:rsidP="00FE60C8">
      <w:pPr>
        <w:spacing w:after="0" w:line="360" w:lineRule="auto"/>
        <w:ind w:left="180" w:right="98" w:firstLine="529"/>
        <w:jc w:val="both"/>
        <w:rPr>
          <w:rFonts w:ascii="Verdana" w:eastAsia="Times New Roman" w:hAnsi="Verdana" w:cs="Times New Roman"/>
          <w:sz w:val="20"/>
          <w:szCs w:val="20"/>
          <w:lang w:eastAsia="it-IT"/>
        </w:rPr>
      </w:pPr>
      <w:r w:rsidRPr="00FE60C8">
        <w:rPr>
          <w:rFonts w:ascii="Verdana" w:eastAsia="Times New Roman" w:hAnsi="Verdana" w:cs="Times New Roman"/>
          <w:sz w:val="20"/>
          <w:szCs w:val="20"/>
          <w:lang w:eastAsia="it-IT"/>
        </w:rPr>
        <w:t xml:space="preserve">nell’adunanza del </w:t>
      </w:r>
      <w:r w:rsidR="007C3CB0">
        <w:rPr>
          <w:rFonts w:ascii="Verdana" w:eastAsia="Times New Roman" w:hAnsi="Verdana" w:cs="Times New Roman"/>
          <w:sz w:val="20"/>
          <w:szCs w:val="20"/>
          <w:lang w:eastAsia="it-IT"/>
        </w:rPr>
        <w:t>14 ottobre</w:t>
      </w:r>
      <w:r w:rsidRPr="00FE60C8">
        <w:rPr>
          <w:rFonts w:ascii="Verdana" w:eastAsia="Times New Roman" w:hAnsi="Verdana" w:cs="Times New Roman"/>
          <w:sz w:val="20"/>
          <w:szCs w:val="20"/>
          <w:lang w:eastAsia="it-IT"/>
        </w:rPr>
        <w:t xml:space="preserve"> 2014;</w:t>
      </w:r>
    </w:p>
    <w:p w:rsidR="00FE60C8" w:rsidRPr="00FE60C8" w:rsidRDefault="00FE60C8" w:rsidP="00E84D1F">
      <w:pPr>
        <w:spacing w:before="120" w:after="120" w:line="360" w:lineRule="auto"/>
        <w:ind w:firstLine="709"/>
        <w:jc w:val="both"/>
        <w:rPr>
          <w:rFonts w:ascii="Verdana" w:eastAsia="Times New Roman" w:hAnsi="Verdana" w:cs="Times New Roman"/>
          <w:sz w:val="20"/>
          <w:szCs w:val="20"/>
          <w:lang w:eastAsia="it-IT"/>
        </w:rPr>
      </w:pPr>
      <w:r w:rsidRPr="00FE60C8">
        <w:rPr>
          <w:rFonts w:ascii="Verdana" w:eastAsia="Times New Roman" w:hAnsi="Verdana" w:cs="Times New Roman"/>
          <w:sz w:val="20"/>
          <w:szCs w:val="20"/>
          <w:lang w:eastAsia="it-IT"/>
        </w:rPr>
        <w:t>VISTO l’art. 100, secondo comma, della Costituzione;</w:t>
      </w:r>
    </w:p>
    <w:p w:rsidR="00FE60C8" w:rsidRPr="00FE60C8" w:rsidRDefault="00FE60C8" w:rsidP="00E84D1F">
      <w:pPr>
        <w:spacing w:before="120" w:after="120" w:line="360" w:lineRule="auto"/>
        <w:ind w:firstLine="709"/>
        <w:jc w:val="both"/>
        <w:rPr>
          <w:rFonts w:ascii="Verdana" w:eastAsia="Times New Roman" w:hAnsi="Verdana" w:cs="Times New Roman"/>
          <w:sz w:val="20"/>
          <w:szCs w:val="20"/>
          <w:lang w:eastAsia="it-IT"/>
        </w:rPr>
      </w:pPr>
      <w:r w:rsidRPr="00FE60C8">
        <w:rPr>
          <w:rFonts w:ascii="Verdana" w:eastAsia="Times New Roman" w:hAnsi="Verdana" w:cs="Times New Roman"/>
          <w:sz w:val="20"/>
          <w:szCs w:val="20"/>
          <w:lang w:eastAsia="it-IT"/>
        </w:rPr>
        <w:t>VISTO il Testo unico delle leggi sulla Corte dei conti, approvato con r.d. 12 luglio 1934, n. 1214, e successive modificazioni;</w:t>
      </w:r>
    </w:p>
    <w:p w:rsidR="00FE60C8" w:rsidRPr="00FE60C8" w:rsidRDefault="00FE60C8" w:rsidP="00E84D1F">
      <w:pPr>
        <w:spacing w:before="120" w:after="120" w:line="360" w:lineRule="auto"/>
        <w:ind w:firstLine="709"/>
        <w:jc w:val="both"/>
        <w:rPr>
          <w:rFonts w:ascii="Verdana" w:eastAsia="Times New Roman" w:hAnsi="Verdana" w:cs="Times New Roman"/>
          <w:sz w:val="20"/>
          <w:szCs w:val="20"/>
          <w:lang w:eastAsia="it-IT"/>
        </w:rPr>
      </w:pPr>
      <w:r w:rsidRPr="00FE60C8">
        <w:rPr>
          <w:rFonts w:ascii="Verdana" w:eastAsia="Times New Roman" w:hAnsi="Verdana" w:cs="Times New Roman"/>
          <w:sz w:val="20"/>
          <w:szCs w:val="20"/>
          <w:lang w:eastAsia="it-IT"/>
        </w:rPr>
        <w:t>VISTA la legge 14 gennaio 1994, n. 20, recante disposizioni in materia di giurisdizione e controllo della Corte dei conti;</w:t>
      </w:r>
    </w:p>
    <w:p w:rsidR="00FE60C8" w:rsidRPr="00FE60C8" w:rsidRDefault="00FE60C8" w:rsidP="00E84D1F">
      <w:pPr>
        <w:spacing w:before="120" w:after="120" w:line="360" w:lineRule="auto"/>
        <w:ind w:firstLine="709"/>
        <w:jc w:val="both"/>
        <w:rPr>
          <w:rFonts w:ascii="Verdana" w:eastAsia="Times New Roman" w:hAnsi="Verdana" w:cs="Times New Roman"/>
          <w:sz w:val="20"/>
          <w:szCs w:val="20"/>
          <w:lang w:eastAsia="it-IT"/>
        </w:rPr>
      </w:pPr>
      <w:r w:rsidRPr="00FE60C8">
        <w:rPr>
          <w:rFonts w:ascii="Verdana" w:eastAsia="Times New Roman" w:hAnsi="Verdana" w:cs="Times New Roman"/>
          <w:sz w:val="20"/>
          <w:szCs w:val="20"/>
          <w:lang w:eastAsia="it-IT"/>
        </w:rPr>
        <w:t>VISTA la legge 5 giugno 2003 n. 131, recante disposizioni per l’adeguamento dell’ordinamento della Repubblica alla legge costituzionale 18 ottobre 2001, n. 3;</w:t>
      </w:r>
    </w:p>
    <w:p w:rsidR="00FE60C8" w:rsidRPr="00FE60C8" w:rsidRDefault="00FE60C8" w:rsidP="00E84D1F">
      <w:pPr>
        <w:spacing w:before="120" w:after="120" w:line="360" w:lineRule="auto"/>
        <w:ind w:firstLine="709"/>
        <w:jc w:val="both"/>
        <w:rPr>
          <w:rFonts w:ascii="Verdana" w:eastAsia="Times New Roman" w:hAnsi="Verdana" w:cs="Times New Roman"/>
          <w:sz w:val="20"/>
          <w:szCs w:val="20"/>
          <w:lang w:eastAsia="it-IT"/>
        </w:rPr>
      </w:pPr>
      <w:r w:rsidRPr="00FE60C8">
        <w:rPr>
          <w:rFonts w:ascii="Verdana" w:eastAsia="Times New Roman" w:hAnsi="Verdana" w:cs="Times New Roman"/>
          <w:sz w:val="20"/>
          <w:szCs w:val="20"/>
          <w:lang w:eastAsia="it-IT"/>
        </w:rPr>
        <w:t>VISTO il Regolamento n.14/2000 per l’organizzazione delle funzioni di controllo della Corte dei conti, deliberato dalle Sezioni riunite della Corte dei conti in data 16 giugno 2000 e successive modifiche;</w:t>
      </w:r>
    </w:p>
    <w:p w:rsidR="00FE60C8" w:rsidRPr="00FE60C8" w:rsidRDefault="00FE60C8" w:rsidP="00E84D1F">
      <w:pPr>
        <w:spacing w:before="120" w:after="120" w:line="360" w:lineRule="auto"/>
        <w:ind w:firstLine="709"/>
        <w:jc w:val="both"/>
        <w:rPr>
          <w:rFonts w:ascii="Verdana" w:eastAsia="Times New Roman" w:hAnsi="Verdana" w:cs="Times New Roman"/>
          <w:sz w:val="20"/>
          <w:szCs w:val="20"/>
          <w:lang w:eastAsia="it-IT"/>
        </w:rPr>
      </w:pPr>
      <w:r w:rsidRPr="00FE60C8">
        <w:rPr>
          <w:rFonts w:ascii="Verdana" w:eastAsia="Times New Roman" w:hAnsi="Verdana" w:cs="Times New Roman"/>
          <w:sz w:val="20"/>
          <w:szCs w:val="20"/>
          <w:lang w:eastAsia="it-IT"/>
        </w:rPr>
        <w:t>VISTA la Convenzione stipulata il 16 giugno 2006 tra Sezione regionale, Consiglio delle autonomie locali e Giunta regionale Toscana in materia di “ulteriori forme di collaborazione” tra Corte ed autonomie, ai sensi dell’art. 7, comma 8, della citata legge n. 131 del 2003;</w:t>
      </w:r>
    </w:p>
    <w:p w:rsidR="00FE60C8" w:rsidRDefault="00034474" w:rsidP="00E84D1F">
      <w:pPr>
        <w:spacing w:before="120" w:after="120" w:line="360" w:lineRule="auto"/>
        <w:ind w:firstLine="709"/>
        <w:jc w:val="both"/>
        <w:rPr>
          <w:rFonts w:ascii="Verdana" w:eastAsia="Times New Roman" w:hAnsi="Verdana" w:cs="Times New Roman"/>
          <w:sz w:val="20"/>
          <w:szCs w:val="20"/>
          <w:lang w:eastAsia="it-IT"/>
        </w:rPr>
      </w:pPr>
      <w:r>
        <w:rPr>
          <w:rFonts w:ascii="Verdana" w:eastAsia="Times New Roman" w:hAnsi="Verdana" w:cs="Times New Roman"/>
          <w:sz w:val="20"/>
          <w:szCs w:val="20"/>
          <w:lang w:eastAsia="it-IT"/>
        </w:rPr>
        <w:t>UDITO il rela</w:t>
      </w:r>
      <w:r w:rsidR="003D2935">
        <w:rPr>
          <w:rFonts w:ascii="Verdana" w:eastAsia="Times New Roman" w:hAnsi="Verdana" w:cs="Times New Roman"/>
          <w:sz w:val="20"/>
          <w:szCs w:val="20"/>
          <w:lang w:eastAsia="it-IT"/>
        </w:rPr>
        <w:t>tore, cons. Emilia Trisciuoglio</w:t>
      </w:r>
      <w:r w:rsidR="00FE60C8" w:rsidRPr="00FE60C8">
        <w:rPr>
          <w:rFonts w:ascii="Verdana" w:eastAsia="Times New Roman" w:hAnsi="Verdana" w:cs="Times New Roman"/>
          <w:sz w:val="20"/>
          <w:szCs w:val="20"/>
          <w:lang w:eastAsia="it-IT"/>
        </w:rPr>
        <w:t>;</w:t>
      </w:r>
    </w:p>
    <w:p w:rsidR="007C3CB0" w:rsidRDefault="007C3CB0">
      <w:pPr>
        <w:rPr>
          <w:rFonts w:ascii="Verdana" w:eastAsia="Times New Roman" w:hAnsi="Verdana" w:cs="Times New Roman"/>
          <w:sz w:val="20"/>
          <w:szCs w:val="20"/>
          <w:lang w:eastAsia="it-IT" w:bidi="he-IL"/>
        </w:rPr>
      </w:pPr>
      <w:r>
        <w:rPr>
          <w:rFonts w:ascii="Verdana" w:eastAsia="Times New Roman" w:hAnsi="Verdana" w:cs="Times New Roman"/>
          <w:sz w:val="20"/>
          <w:szCs w:val="20"/>
          <w:lang w:eastAsia="it-IT" w:bidi="he-IL"/>
        </w:rPr>
        <w:br w:type="page"/>
      </w:r>
    </w:p>
    <w:p w:rsidR="00FE60C8" w:rsidRPr="00FE60C8" w:rsidRDefault="00FE60C8" w:rsidP="005C610F">
      <w:pPr>
        <w:spacing w:after="240" w:line="360" w:lineRule="auto"/>
        <w:ind w:left="181" w:right="96" w:firstLine="539"/>
        <w:jc w:val="center"/>
        <w:rPr>
          <w:rFonts w:ascii="Verdana" w:eastAsia="Times New Roman" w:hAnsi="Verdana" w:cs="Times New Roman"/>
          <w:sz w:val="20"/>
          <w:szCs w:val="20"/>
          <w:lang w:eastAsia="it-IT" w:bidi="he-IL"/>
        </w:rPr>
      </w:pPr>
      <w:r w:rsidRPr="00FE60C8">
        <w:rPr>
          <w:rFonts w:ascii="Verdana" w:eastAsia="Times New Roman" w:hAnsi="Verdana" w:cs="Times New Roman"/>
          <w:sz w:val="20"/>
          <w:szCs w:val="20"/>
          <w:lang w:eastAsia="it-IT" w:bidi="he-IL"/>
        </w:rPr>
        <w:lastRenderedPageBreak/>
        <w:t>PREMESSO</w:t>
      </w:r>
    </w:p>
    <w:p w:rsidR="00C538DC" w:rsidRDefault="00FE60C8" w:rsidP="00E84D1F">
      <w:pPr>
        <w:tabs>
          <w:tab w:val="left" w:pos="0"/>
        </w:tabs>
        <w:spacing w:before="120" w:after="120" w:line="360" w:lineRule="auto"/>
        <w:jc w:val="both"/>
        <w:rPr>
          <w:rFonts w:ascii="Verdana" w:eastAsia="Times New Roman" w:hAnsi="Verdana" w:cs="Times New Roman"/>
          <w:sz w:val="20"/>
          <w:szCs w:val="20"/>
          <w:lang w:eastAsia="it-IT"/>
        </w:rPr>
      </w:pPr>
      <w:r>
        <w:rPr>
          <w:rFonts w:ascii="Verdana" w:eastAsia="Times New Roman" w:hAnsi="Verdana" w:cs="Times New Roman"/>
          <w:sz w:val="20"/>
          <w:szCs w:val="20"/>
          <w:lang w:eastAsia="it-IT"/>
        </w:rPr>
        <w:t xml:space="preserve">1 </w:t>
      </w:r>
      <w:r w:rsidRPr="00FE60C8">
        <w:rPr>
          <w:rFonts w:ascii="Verdana" w:eastAsia="Times New Roman" w:hAnsi="Verdana" w:cs="Times New Roman"/>
          <w:sz w:val="20"/>
          <w:szCs w:val="20"/>
          <w:lang w:eastAsia="it-IT"/>
        </w:rPr>
        <w:t xml:space="preserve">- Il Consiglio delle autonomie locali ha inoltrato alla Sezione, con nota prot. n. </w:t>
      </w:r>
      <w:r w:rsidR="00856B48">
        <w:rPr>
          <w:rFonts w:ascii="Verdana" w:eastAsia="Times New Roman" w:hAnsi="Verdana" w:cs="Times New Roman"/>
          <w:sz w:val="20"/>
          <w:szCs w:val="20"/>
          <w:lang w:eastAsia="it-IT"/>
        </w:rPr>
        <w:t>14960</w:t>
      </w:r>
      <w:r w:rsidR="002A2A0E">
        <w:rPr>
          <w:rFonts w:ascii="Verdana" w:eastAsia="Times New Roman" w:hAnsi="Verdana" w:cs="Times New Roman"/>
          <w:sz w:val="20"/>
          <w:szCs w:val="20"/>
          <w:lang w:eastAsia="it-IT"/>
        </w:rPr>
        <w:t>/1.13.9</w:t>
      </w:r>
      <w:r w:rsidRPr="00FE60C8">
        <w:rPr>
          <w:rFonts w:ascii="Verdana" w:eastAsia="Times New Roman" w:hAnsi="Verdana" w:cs="Times New Roman"/>
          <w:sz w:val="20"/>
          <w:szCs w:val="20"/>
          <w:lang w:eastAsia="it-IT"/>
        </w:rPr>
        <w:t xml:space="preserve"> del </w:t>
      </w:r>
      <w:r w:rsidR="001C6CB9">
        <w:rPr>
          <w:rFonts w:ascii="Verdana" w:eastAsia="Times New Roman" w:hAnsi="Verdana" w:cs="Times New Roman"/>
          <w:sz w:val="20"/>
          <w:szCs w:val="20"/>
          <w:lang w:eastAsia="it-IT"/>
        </w:rPr>
        <w:t>25 agosto</w:t>
      </w:r>
      <w:r w:rsidR="00856B48">
        <w:rPr>
          <w:rFonts w:ascii="Verdana" w:eastAsia="Times New Roman" w:hAnsi="Verdana" w:cs="Times New Roman"/>
          <w:sz w:val="20"/>
          <w:szCs w:val="20"/>
          <w:lang w:eastAsia="it-IT"/>
        </w:rPr>
        <w:t xml:space="preserve"> </w:t>
      </w:r>
      <w:r w:rsidRPr="00FE60C8">
        <w:rPr>
          <w:rFonts w:ascii="Verdana" w:eastAsia="Times New Roman" w:hAnsi="Verdana" w:cs="Times New Roman"/>
          <w:sz w:val="20"/>
          <w:szCs w:val="20"/>
          <w:lang w:eastAsia="it-IT"/>
        </w:rPr>
        <w:t>201</w:t>
      </w:r>
      <w:r>
        <w:rPr>
          <w:rFonts w:ascii="Verdana" w:eastAsia="Times New Roman" w:hAnsi="Verdana" w:cs="Times New Roman"/>
          <w:sz w:val="20"/>
          <w:szCs w:val="20"/>
          <w:lang w:eastAsia="it-IT"/>
        </w:rPr>
        <w:t>4</w:t>
      </w:r>
      <w:r w:rsidR="00034474">
        <w:rPr>
          <w:rFonts w:ascii="Verdana" w:eastAsia="Times New Roman" w:hAnsi="Verdana" w:cs="Times New Roman"/>
          <w:sz w:val="20"/>
          <w:szCs w:val="20"/>
          <w:lang w:eastAsia="it-IT"/>
        </w:rPr>
        <w:t>,</w:t>
      </w:r>
      <w:r w:rsidR="00F31A94">
        <w:rPr>
          <w:rFonts w:ascii="Verdana" w:eastAsia="Times New Roman" w:hAnsi="Verdana" w:cs="Times New Roman"/>
          <w:sz w:val="20"/>
          <w:szCs w:val="20"/>
          <w:lang w:eastAsia="it-IT"/>
        </w:rPr>
        <w:t xml:space="preserve"> pervenuta in data 4 settembre 2014,</w:t>
      </w:r>
      <w:r w:rsidR="00034474">
        <w:rPr>
          <w:rFonts w:ascii="Verdana" w:eastAsia="Times New Roman" w:hAnsi="Verdana" w:cs="Times New Roman"/>
          <w:sz w:val="20"/>
          <w:szCs w:val="20"/>
          <w:lang w:eastAsia="it-IT"/>
        </w:rPr>
        <w:t xml:space="preserve"> la richiesta di parere de</w:t>
      </w:r>
      <w:r w:rsidRPr="00FE60C8">
        <w:rPr>
          <w:rFonts w:ascii="Verdana" w:eastAsia="Times New Roman" w:hAnsi="Verdana" w:cs="Times New Roman"/>
          <w:sz w:val="20"/>
          <w:szCs w:val="20"/>
          <w:lang w:eastAsia="it-IT"/>
        </w:rPr>
        <w:t xml:space="preserve">l Sindaco del Comune di </w:t>
      </w:r>
      <w:r w:rsidR="00856B48">
        <w:rPr>
          <w:rFonts w:ascii="Verdana" w:eastAsia="Times New Roman" w:hAnsi="Verdana" w:cs="Times New Roman"/>
          <w:sz w:val="20"/>
          <w:szCs w:val="20"/>
          <w:lang w:eastAsia="it-IT"/>
        </w:rPr>
        <w:t>Suvereto</w:t>
      </w:r>
      <w:r w:rsidR="00B13A42">
        <w:rPr>
          <w:rFonts w:ascii="Verdana" w:eastAsia="Times New Roman" w:hAnsi="Verdana" w:cs="Times New Roman"/>
          <w:sz w:val="20"/>
          <w:szCs w:val="20"/>
          <w:lang w:eastAsia="it-IT"/>
        </w:rPr>
        <w:t>,</w:t>
      </w:r>
      <w:r w:rsidR="00034474">
        <w:rPr>
          <w:rFonts w:ascii="Verdana" w:eastAsia="Times New Roman" w:hAnsi="Verdana" w:cs="Times New Roman"/>
          <w:sz w:val="20"/>
          <w:szCs w:val="20"/>
          <w:lang w:eastAsia="it-IT"/>
        </w:rPr>
        <w:t xml:space="preserve"> </w:t>
      </w:r>
      <w:r w:rsidR="00B13A42">
        <w:rPr>
          <w:rFonts w:ascii="Verdana" w:eastAsia="Times New Roman" w:hAnsi="Verdana" w:cs="Times New Roman"/>
          <w:sz w:val="20"/>
          <w:szCs w:val="20"/>
          <w:lang w:eastAsia="it-IT"/>
        </w:rPr>
        <w:t>con cui si</w:t>
      </w:r>
      <w:r>
        <w:rPr>
          <w:rFonts w:ascii="Verdana" w:eastAsia="Times New Roman" w:hAnsi="Verdana" w:cs="Times New Roman"/>
          <w:sz w:val="20"/>
          <w:szCs w:val="20"/>
          <w:lang w:eastAsia="it-IT"/>
        </w:rPr>
        <w:t xml:space="preserve"> chiede</w:t>
      </w:r>
      <w:r w:rsidR="00C538DC">
        <w:rPr>
          <w:rFonts w:ascii="Verdana" w:eastAsia="Times New Roman" w:hAnsi="Verdana" w:cs="Times New Roman"/>
          <w:sz w:val="20"/>
          <w:szCs w:val="20"/>
          <w:lang w:eastAsia="it-IT"/>
        </w:rPr>
        <w:t xml:space="preserve"> di chiarire:</w:t>
      </w:r>
    </w:p>
    <w:p w:rsidR="00C538DC" w:rsidRPr="00C538DC" w:rsidRDefault="00B92CF0" w:rsidP="00E84D1F">
      <w:pPr>
        <w:pStyle w:val="Paragrafoelenco"/>
        <w:numPr>
          <w:ilvl w:val="0"/>
          <w:numId w:val="2"/>
        </w:numPr>
        <w:tabs>
          <w:tab w:val="left" w:pos="0"/>
        </w:tabs>
        <w:spacing w:before="120" w:after="120" w:line="360" w:lineRule="auto"/>
        <w:jc w:val="both"/>
        <w:rPr>
          <w:rFonts w:ascii="Verdana" w:eastAsia="Times New Roman" w:hAnsi="Verdana" w:cs="Times New Roman"/>
          <w:sz w:val="20"/>
          <w:szCs w:val="20"/>
          <w:lang w:eastAsia="it-IT"/>
        </w:rPr>
      </w:pPr>
      <w:r>
        <w:rPr>
          <w:rFonts w:ascii="Verdana" w:eastAsia="Times New Roman" w:hAnsi="Verdana" w:cs="Times New Roman"/>
          <w:sz w:val="20"/>
          <w:szCs w:val="20"/>
          <w:lang w:eastAsia="it-IT"/>
        </w:rPr>
        <w:t xml:space="preserve"> l’applicabilità a</w:t>
      </w:r>
      <w:r w:rsidR="00457820" w:rsidRPr="00C538DC">
        <w:rPr>
          <w:rFonts w:ascii="Verdana" w:eastAsia="Times New Roman" w:hAnsi="Verdana" w:cs="Times New Roman"/>
          <w:sz w:val="20"/>
          <w:szCs w:val="20"/>
          <w:lang w:eastAsia="it-IT"/>
        </w:rPr>
        <w:t>l Consorzio Unico di bacino delle Province di N</w:t>
      </w:r>
      <w:r w:rsidR="003D2935">
        <w:rPr>
          <w:rFonts w:ascii="Verdana" w:eastAsia="Times New Roman" w:hAnsi="Verdana" w:cs="Times New Roman"/>
          <w:sz w:val="20"/>
          <w:szCs w:val="20"/>
          <w:lang w:eastAsia="it-IT"/>
        </w:rPr>
        <w:t>apoli e Caserta</w:t>
      </w:r>
      <w:r w:rsidR="002A2A0E">
        <w:rPr>
          <w:rFonts w:ascii="Verdana" w:eastAsia="Times New Roman" w:hAnsi="Verdana" w:cs="Times New Roman"/>
          <w:sz w:val="20"/>
          <w:szCs w:val="20"/>
          <w:lang w:eastAsia="it-IT"/>
        </w:rPr>
        <w:t>,</w:t>
      </w:r>
      <w:r w:rsidR="003D2935">
        <w:rPr>
          <w:rFonts w:ascii="Verdana" w:eastAsia="Times New Roman" w:hAnsi="Verdana" w:cs="Times New Roman"/>
          <w:sz w:val="20"/>
          <w:szCs w:val="20"/>
          <w:lang w:eastAsia="it-IT"/>
        </w:rPr>
        <w:t xml:space="preserve"> in liquidazione</w:t>
      </w:r>
      <w:r w:rsidR="002A2A0E">
        <w:rPr>
          <w:rFonts w:ascii="Verdana" w:eastAsia="Times New Roman" w:hAnsi="Verdana" w:cs="Times New Roman"/>
          <w:sz w:val="20"/>
          <w:szCs w:val="20"/>
          <w:lang w:eastAsia="it-IT"/>
        </w:rPr>
        <w:t>,</w:t>
      </w:r>
      <w:r w:rsidR="00C30E96">
        <w:rPr>
          <w:rFonts w:ascii="Verdana" w:eastAsia="Times New Roman" w:hAnsi="Verdana" w:cs="Times New Roman"/>
          <w:sz w:val="20"/>
          <w:szCs w:val="20"/>
          <w:lang w:eastAsia="it-IT"/>
        </w:rPr>
        <w:t xml:space="preserve"> </w:t>
      </w:r>
      <w:r>
        <w:rPr>
          <w:rFonts w:ascii="Verdana" w:eastAsia="Times New Roman" w:hAnsi="Verdana" w:cs="Times New Roman"/>
          <w:sz w:val="20"/>
          <w:szCs w:val="20"/>
          <w:lang w:eastAsia="it-IT"/>
        </w:rPr>
        <w:t>dell’art.</w:t>
      </w:r>
      <w:r w:rsidR="003D2935">
        <w:rPr>
          <w:rFonts w:ascii="Verdana" w:eastAsia="Times New Roman" w:hAnsi="Verdana" w:cs="Times New Roman"/>
          <w:sz w:val="20"/>
          <w:szCs w:val="20"/>
          <w:lang w:eastAsia="it-IT"/>
        </w:rPr>
        <w:t xml:space="preserve"> 1</w:t>
      </w:r>
      <w:r w:rsidR="00E1343F">
        <w:rPr>
          <w:rFonts w:ascii="Verdana" w:eastAsia="Times New Roman" w:hAnsi="Verdana" w:cs="Times New Roman"/>
          <w:sz w:val="20"/>
          <w:szCs w:val="20"/>
          <w:lang w:eastAsia="it-IT"/>
        </w:rPr>
        <w:t>, c</w:t>
      </w:r>
      <w:r w:rsidR="002A2A0E">
        <w:rPr>
          <w:rFonts w:ascii="Verdana" w:eastAsia="Times New Roman" w:hAnsi="Verdana" w:cs="Times New Roman"/>
          <w:sz w:val="20"/>
          <w:szCs w:val="20"/>
          <w:lang w:eastAsia="it-IT"/>
        </w:rPr>
        <w:t>.</w:t>
      </w:r>
      <w:r w:rsidR="00E1343F">
        <w:rPr>
          <w:rFonts w:ascii="Verdana" w:eastAsia="Times New Roman" w:hAnsi="Verdana" w:cs="Times New Roman"/>
          <w:sz w:val="20"/>
          <w:szCs w:val="20"/>
          <w:lang w:eastAsia="it-IT"/>
        </w:rPr>
        <w:t xml:space="preserve"> 47, della </w:t>
      </w:r>
      <w:r w:rsidR="002A2A0E">
        <w:rPr>
          <w:rFonts w:ascii="Verdana" w:eastAsia="Times New Roman" w:hAnsi="Verdana" w:cs="Times New Roman"/>
          <w:sz w:val="20"/>
          <w:szCs w:val="20"/>
          <w:lang w:eastAsia="it-IT"/>
        </w:rPr>
        <w:t>l.</w:t>
      </w:r>
      <w:r w:rsidR="00E1343F">
        <w:rPr>
          <w:rFonts w:ascii="Verdana" w:eastAsia="Times New Roman" w:hAnsi="Verdana" w:cs="Times New Roman"/>
          <w:sz w:val="20"/>
          <w:szCs w:val="20"/>
          <w:lang w:eastAsia="it-IT"/>
        </w:rPr>
        <w:t xml:space="preserve"> n.</w:t>
      </w:r>
      <w:r w:rsidR="003D2935">
        <w:rPr>
          <w:rFonts w:ascii="Verdana" w:eastAsia="Times New Roman" w:hAnsi="Verdana" w:cs="Times New Roman"/>
          <w:sz w:val="20"/>
          <w:szCs w:val="20"/>
          <w:lang w:eastAsia="it-IT"/>
        </w:rPr>
        <w:t xml:space="preserve"> 311/2004</w:t>
      </w:r>
      <w:r w:rsidR="00E1343F">
        <w:rPr>
          <w:rFonts w:ascii="Verdana" w:eastAsia="Times New Roman" w:hAnsi="Verdana" w:cs="Times New Roman"/>
          <w:sz w:val="20"/>
          <w:szCs w:val="20"/>
          <w:lang w:eastAsia="it-IT"/>
        </w:rPr>
        <w:t xml:space="preserve">, che consente trasferimenti per mobilità, anche intercompartimentale, tra amministrazioni sottoposte al regime di limitazioni di assunzioni di personale, </w:t>
      </w:r>
      <w:r w:rsidR="003D2935">
        <w:rPr>
          <w:rFonts w:ascii="Verdana" w:eastAsia="Times New Roman" w:hAnsi="Verdana" w:cs="Times New Roman"/>
          <w:sz w:val="20"/>
          <w:szCs w:val="20"/>
          <w:lang w:eastAsia="it-IT"/>
        </w:rPr>
        <w:t>al fine di</w:t>
      </w:r>
      <w:r w:rsidR="00457820" w:rsidRPr="00C538DC">
        <w:rPr>
          <w:rFonts w:ascii="Verdana" w:eastAsia="Times New Roman" w:hAnsi="Verdana" w:cs="Times New Roman"/>
          <w:sz w:val="20"/>
          <w:szCs w:val="20"/>
          <w:lang w:eastAsia="it-IT"/>
        </w:rPr>
        <w:t xml:space="preserve"> </w:t>
      </w:r>
      <w:r w:rsidR="00457820" w:rsidRPr="00C30E96">
        <w:rPr>
          <w:rFonts w:ascii="Verdana" w:eastAsia="Times New Roman" w:hAnsi="Verdana" w:cs="Times New Roman"/>
          <w:i/>
          <w:sz w:val="20"/>
          <w:szCs w:val="20"/>
          <w:lang w:eastAsia="it-IT"/>
        </w:rPr>
        <w:t>valutare</w:t>
      </w:r>
      <w:r w:rsidR="00C30E96" w:rsidRPr="00C538DC">
        <w:rPr>
          <w:rFonts w:ascii="Verdana" w:eastAsia="Times New Roman" w:hAnsi="Verdana" w:cs="Times New Roman"/>
          <w:sz w:val="20"/>
          <w:szCs w:val="20"/>
          <w:lang w:eastAsia="it-IT"/>
        </w:rPr>
        <w:t>,</w:t>
      </w:r>
      <w:r w:rsidR="00C30E96">
        <w:rPr>
          <w:rFonts w:ascii="Verdana" w:eastAsia="Times New Roman" w:hAnsi="Verdana" w:cs="Times New Roman"/>
          <w:sz w:val="20"/>
          <w:szCs w:val="20"/>
          <w:lang w:eastAsia="it-IT"/>
        </w:rPr>
        <w:t xml:space="preserve"> ai fini della neutralità della spesa di personale, l</w:t>
      </w:r>
      <w:r w:rsidR="000055DA" w:rsidRPr="00C30E96">
        <w:rPr>
          <w:rFonts w:ascii="Verdana" w:eastAsia="Times New Roman" w:hAnsi="Verdana" w:cs="Times New Roman"/>
          <w:i/>
          <w:sz w:val="20"/>
          <w:szCs w:val="20"/>
          <w:lang w:eastAsia="it-IT"/>
        </w:rPr>
        <w:t>a richiesta di</w:t>
      </w:r>
      <w:r w:rsidR="000055DA">
        <w:rPr>
          <w:rFonts w:ascii="Verdana" w:eastAsia="Times New Roman" w:hAnsi="Verdana" w:cs="Times New Roman"/>
          <w:sz w:val="20"/>
          <w:szCs w:val="20"/>
          <w:lang w:eastAsia="it-IT"/>
        </w:rPr>
        <w:t xml:space="preserve"> trasferimento per mobilità volontaria, a seguito di pubblicazione del bando ex art.</w:t>
      </w:r>
      <w:r w:rsidR="003D2935">
        <w:rPr>
          <w:rFonts w:ascii="Verdana" w:eastAsia="Times New Roman" w:hAnsi="Verdana" w:cs="Times New Roman"/>
          <w:sz w:val="20"/>
          <w:szCs w:val="20"/>
          <w:lang w:eastAsia="it-IT"/>
        </w:rPr>
        <w:t xml:space="preserve"> </w:t>
      </w:r>
      <w:r w:rsidR="000055DA">
        <w:rPr>
          <w:rFonts w:ascii="Verdana" w:eastAsia="Times New Roman" w:hAnsi="Verdana" w:cs="Times New Roman"/>
          <w:sz w:val="20"/>
          <w:szCs w:val="20"/>
          <w:lang w:eastAsia="it-IT"/>
        </w:rPr>
        <w:t>30 d.</w:t>
      </w:r>
      <w:r w:rsidR="003D2935">
        <w:rPr>
          <w:rFonts w:ascii="Verdana" w:eastAsia="Times New Roman" w:hAnsi="Verdana" w:cs="Times New Roman"/>
          <w:sz w:val="20"/>
          <w:szCs w:val="20"/>
          <w:lang w:eastAsia="it-IT"/>
        </w:rPr>
        <w:t>lgs.</w:t>
      </w:r>
      <w:r w:rsidR="000055DA">
        <w:rPr>
          <w:rFonts w:ascii="Verdana" w:eastAsia="Times New Roman" w:hAnsi="Verdana" w:cs="Times New Roman"/>
          <w:sz w:val="20"/>
          <w:szCs w:val="20"/>
          <w:lang w:eastAsia="it-IT"/>
        </w:rPr>
        <w:t xml:space="preserve"> n.</w:t>
      </w:r>
      <w:r w:rsidR="003D2935">
        <w:rPr>
          <w:rFonts w:ascii="Verdana" w:eastAsia="Times New Roman" w:hAnsi="Verdana" w:cs="Times New Roman"/>
          <w:sz w:val="20"/>
          <w:szCs w:val="20"/>
          <w:lang w:eastAsia="it-IT"/>
        </w:rPr>
        <w:t xml:space="preserve"> </w:t>
      </w:r>
      <w:r w:rsidR="000055DA">
        <w:rPr>
          <w:rFonts w:ascii="Verdana" w:eastAsia="Times New Roman" w:hAnsi="Verdana" w:cs="Times New Roman"/>
          <w:sz w:val="20"/>
          <w:szCs w:val="20"/>
          <w:lang w:eastAsia="it-IT"/>
        </w:rPr>
        <w:t>165/2001, di n.</w:t>
      </w:r>
      <w:r w:rsidR="003D2935">
        <w:rPr>
          <w:rFonts w:ascii="Verdana" w:eastAsia="Times New Roman" w:hAnsi="Verdana" w:cs="Times New Roman"/>
          <w:sz w:val="20"/>
          <w:szCs w:val="20"/>
          <w:lang w:eastAsia="it-IT"/>
        </w:rPr>
        <w:t xml:space="preserve"> 2 dipendenti del Consorzio</w:t>
      </w:r>
      <w:r w:rsidR="00C538DC" w:rsidRPr="00C538DC">
        <w:rPr>
          <w:rFonts w:ascii="Verdana" w:eastAsia="Times New Roman" w:hAnsi="Verdana" w:cs="Times New Roman"/>
          <w:sz w:val="20"/>
          <w:szCs w:val="20"/>
          <w:lang w:eastAsia="it-IT"/>
        </w:rPr>
        <w:t>;</w:t>
      </w:r>
    </w:p>
    <w:p w:rsidR="00FE60C8" w:rsidRPr="003D2935" w:rsidRDefault="00C538DC" w:rsidP="00E84D1F">
      <w:pPr>
        <w:pStyle w:val="Paragrafoelenco"/>
        <w:numPr>
          <w:ilvl w:val="0"/>
          <w:numId w:val="2"/>
        </w:numPr>
        <w:tabs>
          <w:tab w:val="left" w:pos="0"/>
        </w:tabs>
        <w:spacing w:before="120" w:after="120" w:line="360" w:lineRule="auto"/>
        <w:jc w:val="both"/>
        <w:rPr>
          <w:rFonts w:ascii="Verdana" w:eastAsia="Times New Roman" w:hAnsi="Verdana" w:cs="Times New Roman"/>
          <w:sz w:val="20"/>
          <w:szCs w:val="20"/>
          <w:lang w:eastAsia="it-IT"/>
        </w:rPr>
      </w:pPr>
      <w:r>
        <w:rPr>
          <w:rFonts w:ascii="Verdana" w:eastAsia="Times New Roman" w:hAnsi="Verdana" w:cs="Times New Roman"/>
          <w:sz w:val="20"/>
          <w:szCs w:val="20"/>
          <w:lang w:eastAsia="it-IT"/>
        </w:rPr>
        <w:t>l’ambito di applicazione dell’art.</w:t>
      </w:r>
      <w:r w:rsidR="003D2935">
        <w:rPr>
          <w:rFonts w:ascii="Verdana" w:eastAsia="Times New Roman" w:hAnsi="Verdana" w:cs="Times New Roman"/>
          <w:sz w:val="20"/>
          <w:szCs w:val="20"/>
          <w:lang w:eastAsia="it-IT"/>
        </w:rPr>
        <w:t xml:space="preserve"> </w:t>
      </w:r>
      <w:r>
        <w:rPr>
          <w:rFonts w:ascii="Verdana" w:eastAsia="Times New Roman" w:hAnsi="Verdana" w:cs="Times New Roman"/>
          <w:sz w:val="20"/>
          <w:szCs w:val="20"/>
          <w:lang w:eastAsia="it-IT"/>
        </w:rPr>
        <w:t xml:space="preserve">202 del </w:t>
      </w:r>
      <w:proofErr w:type="spellStart"/>
      <w:r w:rsidR="003D2935">
        <w:rPr>
          <w:rFonts w:ascii="Verdana" w:eastAsia="Times New Roman" w:hAnsi="Verdana" w:cs="Times New Roman"/>
          <w:sz w:val="20"/>
          <w:szCs w:val="20"/>
          <w:lang w:eastAsia="it-IT"/>
        </w:rPr>
        <w:t>d.</w:t>
      </w:r>
      <w:r>
        <w:rPr>
          <w:rFonts w:ascii="Verdana" w:eastAsia="Times New Roman" w:hAnsi="Verdana" w:cs="Times New Roman"/>
          <w:sz w:val="20"/>
          <w:szCs w:val="20"/>
          <w:lang w:eastAsia="it-IT"/>
        </w:rPr>
        <w:t>P</w:t>
      </w:r>
      <w:r w:rsidR="003D2935">
        <w:rPr>
          <w:rFonts w:ascii="Verdana" w:eastAsia="Times New Roman" w:hAnsi="Verdana" w:cs="Times New Roman"/>
          <w:sz w:val="20"/>
          <w:szCs w:val="20"/>
          <w:lang w:eastAsia="it-IT"/>
        </w:rPr>
        <w:t>.</w:t>
      </w:r>
      <w:r>
        <w:rPr>
          <w:rFonts w:ascii="Verdana" w:eastAsia="Times New Roman" w:hAnsi="Verdana" w:cs="Times New Roman"/>
          <w:sz w:val="20"/>
          <w:szCs w:val="20"/>
          <w:lang w:eastAsia="it-IT"/>
        </w:rPr>
        <w:t>R</w:t>
      </w:r>
      <w:r w:rsidR="003D2935">
        <w:rPr>
          <w:rFonts w:ascii="Verdana" w:eastAsia="Times New Roman" w:hAnsi="Verdana" w:cs="Times New Roman"/>
          <w:sz w:val="20"/>
          <w:szCs w:val="20"/>
          <w:lang w:eastAsia="it-IT"/>
        </w:rPr>
        <w:t>.</w:t>
      </w:r>
      <w:proofErr w:type="spellEnd"/>
      <w:r>
        <w:rPr>
          <w:rFonts w:ascii="Verdana" w:eastAsia="Times New Roman" w:hAnsi="Verdana" w:cs="Times New Roman"/>
          <w:sz w:val="20"/>
          <w:szCs w:val="20"/>
          <w:lang w:eastAsia="it-IT"/>
        </w:rPr>
        <w:t xml:space="preserve"> n.</w:t>
      </w:r>
      <w:r w:rsidR="003D2935">
        <w:rPr>
          <w:rFonts w:ascii="Verdana" w:eastAsia="Times New Roman" w:hAnsi="Verdana" w:cs="Times New Roman"/>
          <w:sz w:val="20"/>
          <w:szCs w:val="20"/>
          <w:lang w:eastAsia="it-IT"/>
        </w:rPr>
        <w:t xml:space="preserve"> </w:t>
      </w:r>
      <w:r>
        <w:rPr>
          <w:rFonts w:ascii="Verdana" w:eastAsia="Times New Roman" w:hAnsi="Verdana" w:cs="Times New Roman"/>
          <w:sz w:val="20"/>
          <w:szCs w:val="20"/>
          <w:lang w:eastAsia="it-IT"/>
        </w:rPr>
        <w:t xml:space="preserve">3/1957 che vieta la </w:t>
      </w:r>
      <w:proofErr w:type="spellStart"/>
      <w:r w:rsidRPr="003D2935">
        <w:rPr>
          <w:rFonts w:ascii="Verdana" w:eastAsia="Times New Roman" w:hAnsi="Verdana" w:cs="Times New Roman"/>
          <w:i/>
          <w:sz w:val="20"/>
          <w:szCs w:val="20"/>
          <w:lang w:eastAsia="it-IT"/>
        </w:rPr>
        <w:t>re</w:t>
      </w:r>
      <w:r w:rsidR="007173A4" w:rsidRPr="003D2935">
        <w:rPr>
          <w:rFonts w:ascii="Verdana" w:eastAsia="Times New Roman" w:hAnsi="Verdana" w:cs="Times New Roman"/>
          <w:i/>
          <w:sz w:val="20"/>
          <w:szCs w:val="20"/>
          <w:lang w:eastAsia="it-IT"/>
        </w:rPr>
        <w:t>formatio</w:t>
      </w:r>
      <w:proofErr w:type="spellEnd"/>
      <w:r w:rsidR="007173A4" w:rsidRPr="003D2935">
        <w:rPr>
          <w:rFonts w:ascii="Verdana" w:eastAsia="Times New Roman" w:hAnsi="Verdana" w:cs="Times New Roman"/>
          <w:i/>
          <w:sz w:val="20"/>
          <w:szCs w:val="20"/>
          <w:lang w:eastAsia="it-IT"/>
        </w:rPr>
        <w:t xml:space="preserve"> in </w:t>
      </w:r>
      <w:proofErr w:type="spellStart"/>
      <w:r w:rsidR="007173A4" w:rsidRPr="003D2935">
        <w:rPr>
          <w:rFonts w:ascii="Verdana" w:eastAsia="Times New Roman" w:hAnsi="Verdana" w:cs="Times New Roman"/>
          <w:i/>
          <w:sz w:val="20"/>
          <w:szCs w:val="20"/>
          <w:lang w:eastAsia="it-IT"/>
        </w:rPr>
        <w:t>peius</w:t>
      </w:r>
      <w:proofErr w:type="spellEnd"/>
      <w:r w:rsidR="007173A4">
        <w:rPr>
          <w:rFonts w:ascii="Verdana" w:eastAsia="Times New Roman" w:hAnsi="Verdana" w:cs="Times New Roman"/>
          <w:sz w:val="20"/>
          <w:szCs w:val="20"/>
          <w:lang w:eastAsia="it-IT"/>
        </w:rPr>
        <w:t xml:space="preserve"> del trattamento economico fondamentale del personale </w:t>
      </w:r>
      <w:r w:rsidR="00502C7D">
        <w:rPr>
          <w:rFonts w:ascii="Verdana" w:eastAsia="Times New Roman" w:hAnsi="Verdana" w:cs="Times New Roman"/>
          <w:sz w:val="20"/>
          <w:szCs w:val="20"/>
          <w:lang w:eastAsia="it-IT"/>
        </w:rPr>
        <w:t xml:space="preserve">dipendente, stante il maggiore trattamento retributivo riconosciuto dall’ente di provenienza al personale </w:t>
      </w:r>
      <w:r w:rsidR="00C30E96">
        <w:rPr>
          <w:rFonts w:ascii="Verdana" w:eastAsia="Times New Roman" w:hAnsi="Verdana" w:cs="Times New Roman"/>
          <w:sz w:val="20"/>
          <w:szCs w:val="20"/>
          <w:lang w:eastAsia="it-IT"/>
        </w:rPr>
        <w:t xml:space="preserve">del Consorzio </w:t>
      </w:r>
      <w:r w:rsidR="00502C7D">
        <w:rPr>
          <w:rFonts w:ascii="Verdana" w:eastAsia="Times New Roman" w:hAnsi="Verdana" w:cs="Times New Roman"/>
          <w:sz w:val="20"/>
          <w:szCs w:val="20"/>
          <w:lang w:eastAsia="it-IT"/>
        </w:rPr>
        <w:t>richiedente la mobilità;</w:t>
      </w:r>
    </w:p>
    <w:p w:rsidR="00E1343F" w:rsidRDefault="003D2935" w:rsidP="005C610F">
      <w:pPr>
        <w:tabs>
          <w:tab w:val="left" w:pos="0"/>
        </w:tabs>
        <w:spacing w:before="240" w:after="240" w:line="360" w:lineRule="auto"/>
        <w:ind w:left="357"/>
        <w:jc w:val="center"/>
        <w:rPr>
          <w:rFonts w:ascii="Verdana" w:eastAsia="Times New Roman" w:hAnsi="Verdana" w:cs="Times New Roman"/>
          <w:sz w:val="20"/>
          <w:szCs w:val="20"/>
          <w:lang w:eastAsia="it-IT"/>
        </w:rPr>
      </w:pPr>
      <w:r>
        <w:rPr>
          <w:rFonts w:ascii="Verdana" w:eastAsia="Times New Roman" w:hAnsi="Verdana" w:cs="Times New Roman"/>
          <w:sz w:val="20"/>
          <w:szCs w:val="20"/>
          <w:lang w:eastAsia="it-IT"/>
        </w:rPr>
        <w:t>CONSIDERATO</w:t>
      </w:r>
    </w:p>
    <w:p w:rsidR="00FE60C8" w:rsidRDefault="00FE60C8" w:rsidP="00E84D1F">
      <w:pPr>
        <w:spacing w:before="120" w:after="120" w:line="360" w:lineRule="auto"/>
        <w:ind w:firstLine="709"/>
        <w:jc w:val="both"/>
        <w:rPr>
          <w:rFonts w:ascii="Verdana" w:eastAsia="Times New Roman" w:hAnsi="Verdana" w:cs="Times New Roman"/>
          <w:sz w:val="20"/>
          <w:szCs w:val="24"/>
          <w:lang w:eastAsia="it-IT"/>
        </w:rPr>
      </w:pPr>
      <w:r w:rsidRPr="00FE60C8">
        <w:rPr>
          <w:rFonts w:ascii="Verdana" w:eastAsia="Times New Roman" w:hAnsi="Verdana" w:cs="Times New Roman"/>
          <w:sz w:val="20"/>
          <w:szCs w:val="24"/>
          <w:lang w:eastAsia="it-IT"/>
        </w:rPr>
        <w:t xml:space="preserve">Secondo consolidati orientamenti assunti dalla Corte dei conti in tema di pareri da esprimere ai sensi dell’art. 7, comma 8, della l. n. 131/2003, occorre verificare in via preliminare se la richiesta di parere formulata presenti i necessari requisiti di ammissibilità, sia sotto il profilo soggettivo della legittimazione dell’organo richiedente, sia sotto il profilo oggettivo per l’attinenza dei quesiti alla materia della contabilità pubblica, come espressamente previsto dalla legge. </w:t>
      </w:r>
    </w:p>
    <w:p w:rsidR="00FE60C8" w:rsidRPr="00FE60C8" w:rsidRDefault="00FE60C8" w:rsidP="00E84D1F">
      <w:pPr>
        <w:spacing w:before="120" w:after="120" w:line="360" w:lineRule="auto"/>
        <w:ind w:firstLine="709"/>
        <w:jc w:val="both"/>
        <w:rPr>
          <w:rFonts w:ascii="Verdana" w:eastAsia="Times New Roman" w:hAnsi="Verdana" w:cs="Times New Roman"/>
          <w:sz w:val="20"/>
          <w:szCs w:val="24"/>
          <w:lang w:eastAsia="it-IT"/>
        </w:rPr>
      </w:pPr>
      <w:r w:rsidRPr="00FE60C8">
        <w:rPr>
          <w:rFonts w:ascii="Verdana" w:eastAsia="Times New Roman" w:hAnsi="Verdana" w:cs="Times New Roman"/>
          <w:sz w:val="20"/>
          <w:szCs w:val="24"/>
          <w:lang w:eastAsia="it-IT"/>
        </w:rPr>
        <w:t>La richiesta di parere è ammissibile sotto il profilo soggettivo, in quanto formulata dal Sindaco del Comune interessato, per il tramite del Consiglio delle autonomie.</w:t>
      </w:r>
    </w:p>
    <w:p w:rsidR="00D66E13" w:rsidRDefault="00E81520" w:rsidP="00E84D1F">
      <w:pPr>
        <w:spacing w:before="120" w:after="120" w:line="360" w:lineRule="auto"/>
        <w:ind w:firstLine="709"/>
        <w:jc w:val="both"/>
        <w:rPr>
          <w:rFonts w:ascii="Verdana" w:eastAsia="Times New Roman" w:hAnsi="Verdana" w:cs="Times New Roman"/>
          <w:sz w:val="20"/>
          <w:szCs w:val="24"/>
          <w:lang w:eastAsia="it-IT"/>
        </w:rPr>
      </w:pPr>
      <w:r>
        <w:rPr>
          <w:rFonts w:ascii="Verdana" w:eastAsia="Times New Roman" w:hAnsi="Verdana" w:cs="Times New Roman"/>
          <w:sz w:val="20"/>
          <w:szCs w:val="24"/>
          <w:lang w:eastAsia="it-IT"/>
        </w:rPr>
        <w:t>Sotto il profilo dell’ammissibilità oggettiva</w:t>
      </w:r>
      <w:r w:rsidR="00E1343F">
        <w:rPr>
          <w:rFonts w:ascii="Verdana" w:eastAsia="Times New Roman" w:hAnsi="Verdana" w:cs="Times New Roman"/>
          <w:sz w:val="20"/>
          <w:szCs w:val="24"/>
          <w:lang w:eastAsia="it-IT"/>
        </w:rPr>
        <w:t>,</w:t>
      </w:r>
      <w:r>
        <w:rPr>
          <w:rFonts w:ascii="Verdana" w:eastAsia="Times New Roman" w:hAnsi="Verdana" w:cs="Times New Roman"/>
          <w:sz w:val="20"/>
          <w:szCs w:val="24"/>
          <w:lang w:eastAsia="it-IT"/>
        </w:rPr>
        <w:t xml:space="preserve"> va osservato che </w:t>
      </w:r>
      <w:r w:rsidR="002B5E7B" w:rsidRPr="002B5E7B">
        <w:rPr>
          <w:rFonts w:ascii="Verdana" w:eastAsia="Times New Roman" w:hAnsi="Verdana" w:cs="Times New Roman"/>
          <w:sz w:val="20"/>
          <w:szCs w:val="24"/>
          <w:lang w:eastAsia="it-IT"/>
        </w:rPr>
        <w:t>l’attività consulti</w:t>
      </w:r>
      <w:r>
        <w:rPr>
          <w:rFonts w:ascii="Verdana" w:eastAsia="Times New Roman" w:hAnsi="Verdana" w:cs="Times New Roman"/>
          <w:sz w:val="20"/>
          <w:szCs w:val="24"/>
          <w:lang w:eastAsia="it-IT"/>
        </w:rPr>
        <w:t>va</w:t>
      </w:r>
      <w:r w:rsidR="002B5E7B" w:rsidRPr="002B5E7B">
        <w:rPr>
          <w:rFonts w:ascii="Verdana" w:eastAsia="Times New Roman" w:hAnsi="Verdana" w:cs="Times New Roman"/>
          <w:sz w:val="20"/>
          <w:szCs w:val="24"/>
          <w:lang w:eastAsia="it-IT"/>
        </w:rPr>
        <w:t xml:space="preserve"> delle sezioni regionali di controllo della Corte dei conti di cui </w:t>
      </w:r>
      <w:r>
        <w:rPr>
          <w:rFonts w:ascii="Verdana" w:eastAsia="Times New Roman" w:hAnsi="Verdana" w:cs="Times New Roman"/>
          <w:sz w:val="20"/>
          <w:szCs w:val="24"/>
          <w:lang w:eastAsia="it-IT"/>
        </w:rPr>
        <w:t>all’art.</w:t>
      </w:r>
      <w:r w:rsidR="003D2935">
        <w:rPr>
          <w:rFonts w:ascii="Verdana" w:eastAsia="Times New Roman" w:hAnsi="Verdana" w:cs="Times New Roman"/>
          <w:sz w:val="20"/>
          <w:szCs w:val="24"/>
          <w:lang w:eastAsia="it-IT"/>
        </w:rPr>
        <w:t xml:space="preserve"> </w:t>
      </w:r>
      <w:r>
        <w:rPr>
          <w:rFonts w:ascii="Verdana" w:eastAsia="Times New Roman" w:hAnsi="Verdana" w:cs="Times New Roman"/>
          <w:sz w:val="20"/>
          <w:szCs w:val="24"/>
          <w:lang w:eastAsia="it-IT"/>
        </w:rPr>
        <w:t>7</w:t>
      </w:r>
      <w:r w:rsidR="002A2A0E">
        <w:rPr>
          <w:rFonts w:ascii="Verdana" w:eastAsia="Times New Roman" w:hAnsi="Verdana" w:cs="Times New Roman"/>
          <w:sz w:val="20"/>
          <w:szCs w:val="24"/>
          <w:lang w:eastAsia="it-IT"/>
        </w:rPr>
        <w:t>,</w:t>
      </w:r>
      <w:r>
        <w:rPr>
          <w:rFonts w:ascii="Verdana" w:eastAsia="Times New Roman" w:hAnsi="Verdana" w:cs="Times New Roman"/>
          <w:sz w:val="20"/>
          <w:szCs w:val="24"/>
          <w:lang w:eastAsia="it-IT"/>
        </w:rPr>
        <w:t xml:space="preserve"> comma 8</w:t>
      </w:r>
      <w:r w:rsidR="002A2A0E">
        <w:rPr>
          <w:rFonts w:ascii="Verdana" w:eastAsia="Times New Roman" w:hAnsi="Verdana" w:cs="Times New Roman"/>
          <w:sz w:val="20"/>
          <w:szCs w:val="24"/>
          <w:lang w:eastAsia="it-IT"/>
        </w:rPr>
        <w:t>,</w:t>
      </w:r>
      <w:r>
        <w:rPr>
          <w:rFonts w:ascii="Verdana" w:eastAsia="Times New Roman" w:hAnsi="Verdana" w:cs="Times New Roman"/>
          <w:sz w:val="20"/>
          <w:szCs w:val="24"/>
          <w:lang w:eastAsia="it-IT"/>
        </w:rPr>
        <w:t xml:space="preserve"> </w:t>
      </w:r>
      <w:r w:rsidR="003D2935">
        <w:rPr>
          <w:rFonts w:ascii="Verdana" w:eastAsia="Times New Roman" w:hAnsi="Verdana" w:cs="Times New Roman"/>
          <w:sz w:val="20"/>
          <w:szCs w:val="24"/>
          <w:lang w:eastAsia="it-IT"/>
        </w:rPr>
        <w:t>l</w:t>
      </w:r>
      <w:r>
        <w:rPr>
          <w:rFonts w:ascii="Verdana" w:eastAsia="Times New Roman" w:hAnsi="Verdana" w:cs="Times New Roman"/>
          <w:sz w:val="20"/>
          <w:szCs w:val="24"/>
          <w:lang w:eastAsia="it-IT"/>
        </w:rPr>
        <w:t>. n.</w:t>
      </w:r>
      <w:r w:rsidR="003D2935">
        <w:rPr>
          <w:rFonts w:ascii="Verdana" w:eastAsia="Times New Roman" w:hAnsi="Verdana" w:cs="Times New Roman"/>
          <w:sz w:val="20"/>
          <w:szCs w:val="24"/>
          <w:lang w:eastAsia="it-IT"/>
        </w:rPr>
        <w:t xml:space="preserve"> </w:t>
      </w:r>
      <w:r>
        <w:rPr>
          <w:rFonts w:ascii="Verdana" w:eastAsia="Times New Roman" w:hAnsi="Verdana" w:cs="Times New Roman"/>
          <w:sz w:val="20"/>
          <w:szCs w:val="24"/>
          <w:lang w:eastAsia="it-IT"/>
        </w:rPr>
        <w:t>131/2003,</w:t>
      </w:r>
      <w:r w:rsidR="00BD1B4B">
        <w:rPr>
          <w:rFonts w:ascii="Verdana" w:eastAsia="Times New Roman" w:hAnsi="Verdana" w:cs="Times New Roman"/>
          <w:sz w:val="20"/>
          <w:szCs w:val="24"/>
          <w:lang w:eastAsia="it-IT"/>
        </w:rPr>
        <w:t xml:space="preserve"> c</w:t>
      </w:r>
      <w:r w:rsidR="002B5E7B" w:rsidRPr="002B5E7B">
        <w:rPr>
          <w:rFonts w:ascii="Verdana" w:eastAsia="Times New Roman" w:hAnsi="Verdana" w:cs="Times New Roman"/>
          <w:sz w:val="20"/>
          <w:szCs w:val="24"/>
          <w:lang w:eastAsia="it-IT"/>
        </w:rPr>
        <w:t>ome evidenziato dalle Sezioni Riunite di questa Corte, con pronunzia resa in sede di nomofilac</w:t>
      </w:r>
      <w:r w:rsidR="00821EDB">
        <w:rPr>
          <w:rFonts w:ascii="Verdana" w:eastAsia="Times New Roman" w:hAnsi="Verdana" w:cs="Times New Roman"/>
          <w:sz w:val="20"/>
          <w:szCs w:val="24"/>
          <w:lang w:eastAsia="it-IT"/>
        </w:rPr>
        <w:t>hia contabile</w:t>
      </w:r>
      <w:r w:rsidR="002B5E7B" w:rsidRPr="002B5E7B">
        <w:rPr>
          <w:rFonts w:ascii="Verdana" w:eastAsia="Times New Roman" w:hAnsi="Verdana" w:cs="Times New Roman"/>
          <w:sz w:val="20"/>
          <w:szCs w:val="24"/>
          <w:lang w:eastAsia="it-IT"/>
        </w:rPr>
        <w:t xml:space="preserve"> (del. n.</w:t>
      </w:r>
      <w:r w:rsidR="002B5E7B">
        <w:rPr>
          <w:rFonts w:ascii="Verdana" w:eastAsia="Times New Roman" w:hAnsi="Verdana" w:cs="Times New Roman"/>
          <w:sz w:val="20"/>
          <w:szCs w:val="24"/>
          <w:lang w:eastAsia="it-IT"/>
        </w:rPr>
        <w:t xml:space="preserve"> </w:t>
      </w:r>
      <w:r w:rsidR="002B5E7B" w:rsidRPr="002B5E7B">
        <w:rPr>
          <w:rFonts w:ascii="Verdana" w:eastAsia="Times New Roman" w:hAnsi="Verdana" w:cs="Times New Roman"/>
          <w:sz w:val="20"/>
          <w:szCs w:val="24"/>
          <w:lang w:eastAsia="it-IT"/>
        </w:rPr>
        <w:t>54/contr/2010)</w:t>
      </w:r>
      <w:r w:rsidR="00E22055">
        <w:rPr>
          <w:rFonts w:ascii="Verdana" w:eastAsia="Times New Roman" w:hAnsi="Verdana" w:cs="Times New Roman"/>
          <w:sz w:val="20"/>
          <w:szCs w:val="24"/>
          <w:lang w:eastAsia="it-IT"/>
        </w:rPr>
        <w:t>,</w:t>
      </w:r>
      <w:r w:rsidR="007D6C9A">
        <w:rPr>
          <w:rFonts w:ascii="Verdana" w:eastAsia="Times New Roman" w:hAnsi="Verdana" w:cs="Times New Roman"/>
          <w:sz w:val="20"/>
          <w:szCs w:val="24"/>
          <w:lang w:eastAsia="it-IT"/>
        </w:rPr>
        <w:t xml:space="preserve"> a conferma dell</w:t>
      </w:r>
      <w:r w:rsidR="002B5E7B" w:rsidRPr="002B5E7B">
        <w:rPr>
          <w:rFonts w:ascii="Verdana" w:eastAsia="Times New Roman" w:hAnsi="Verdana" w:cs="Times New Roman"/>
          <w:sz w:val="20"/>
          <w:szCs w:val="24"/>
          <w:lang w:eastAsia="it-IT"/>
        </w:rPr>
        <w:t>’orientamento già assunto dalla Sezi</w:t>
      </w:r>
      <w:r w:rsidR="002B5E7B">
        <w:rPr>
          <w:rFonts w:ascii="Verdana" w:eastAsia="Times New Roman" w:hAnsi="Verdana" w:cs="Times New Roman"/>
          <w:sz w:val="20"/>
          <w:szCs w:val="24"/>
          <w:lang w:eastAsia="it-IT"/>
        </w:rPr>
        <w:t>one Autonomie (del. n. 5 del 17</w:t>
      </w:r>
      <w:r w:rsidR="003D2935">
        <w:rPr>
          <w:rFonts w:ascii="Verdana" w:eastAsia="Times New Roman" w:hAnsi="Verdana" w:cs="Times New Roman"/>
          <w:sz w:val="20"/>
          <w:szCs w:val="24"/>
          <w:lang w:eastAsia="it-IT"/>
        </w:rPr>
        <w:t xml:space="preserve"> febbraio </w:t>
      </w:r>
      <w:r w:rsidR="00E22055">
        <w:rPr>
          <w:rFonts w:ascii="Verdana" w:eastAsia="Times New Roman" w:hAnsi="Verdana" w:cs="Times New Roman"/>
          <w:sz w:val="20"/>
          <w:szCs w:val="24"/>
          <w:lang w:eastAsia="it-IT"/>
        </w:rPr>
        <w:t xml:space="preserve">2006), </w:t>
      </w:r>
      <w:r>
        <w:rPr>
          <w:rFonts w:ascii="Verdana" w:eastAsia="Times New Roman" w:hAnsi="Verdana" w:cs="Times New Roman"/>
          <w:sz w:val="20"/>
          <w:szCs w:val="24"/>
          <w:lang w:eastAsia="it-IT"/>
        </w:rPr>
        <w:t>si svolge in relazione alla sola materia della</w:t>
      </w:r>
      <w:r w:rsidR="00E22055">
        <w:rPr>
          <w:rFonts w:ascii="Verdana" w:eastAsia="Times New Roman" w:hAnsi="Verdana" w:cs="Times New Roman"/>
          <w:sz w:val="20"/>
          <w:szCs w:val="24"/>
          <w:lang w:eastAsia="it-IT"/>
        </w:rPr>
        <w:t xml:space="preserve"> </w:t>
      </w:r>
      <w:r>
        <w:rPr>
          <w:rFonts w:ascii="Verdana" w:eastAsia="Times New Roman" w:hAnsi="Verdana" w:cs="Times New Roman"/>
          <w:sz w:val="20"/>
          <w:szCs w:val="24"/>
          <w:lang w:eastAsia="it-IT"/>
        </w:rPr>
        <w:t>“</w:t>
      </w:r>
      <w:r w:rsidR="00E22055">
        <w:rPr>
          <w:rFonts w:ascii="Verdana" w:eastAsia="Times New Roman" w:hAnsi="Verdana" w:cs="Times New Roman"/>
          <w:sz w:val="20"/>
          <w:szCs w:val="24"/>
          <w:lang w:eastAsia="it-IT"/>
        </w:rPr>
        <w:t>contabilità pubblica</w:t>
      </w:r>
      <w:r>
        <w:rPr>
          <w:rFonts w:ascii="Verdana" w:eastAsia="Times New Roman" w:hAnsi="Verdana" w:cs="Times New Roman"/>
          <w:sz w:val="20"/>
          <w:szCs w:val="24"/>
          <w:lang w:eastAsia="it-IT"/>
        </w:rPr>
        <w:t>”</w:t>
      </w:r>
      <w:r w:rsidR="00F51678">
        <w:rPr>
          <w:rFonts w:ascii="Verdana" w:eastAsia="Times New Roman" w:hAnsi="Verdana" w:cs="Times New Roman"/>
          <w:sz w:val="20"/>
          <w:szCs w:val="24"/>
          <w:lang w:eastAsia="it-IT"/>
        </w:rPr>
        <w:t>, non già in un ambito di</w:t>
      </w:r>
      <w:r w:rsidR="003D2935">
        <w:rPr>
          <w:rFonts w:ascii="Verdana" w:eastAsia="Times New Roman" w:hAnsi="Verdana" w:cs="Times New Roman"/>
          <w:sz w:val="20"/>
          <w:szCs w:val="24"/>
          <w:lang w:eastAsia="it-IT"/>
        </w:rPr>
        <w:t xml:space="preserve"> consulenza di portata generale</w:t>
      </w:r>
      <w:r w:rsidR="002631C8">
        <w:rPr>
          <w:rFonts w:ascii="Verdana" w:eastAsia="Times New Roman" w:hAnsi="Verdana" w:cs="Times New Roman"/>
          <w:sz w:val="20"/>
          <w:szCs w:val="24"/>
          <w:lang w:eastAsia="it-IT"/>
        </w:rPr>
        <w:t>,</w:t>
      </w:r>
      <w:r w:rsidR="00E1343F">
        <w:rPr>
          <w:rFonts w:ascii="Verdana" w:eastAsia="Times New Roman" w:hAnsi="Verdana" w:cs="Times New Roman"/>
          <w:sz w:val="20"/>
          <w:szCs w:val="24"/>
          <w:lang w:eastAsia="it-IT"/>
        </w:rPr>
        <w:t xml:space="preserve"> </w:t>
      </w:r>
      <w:r w:rsidR="00F51678">
        <w:rPr>
          <w:rFonts w:ascii="Verdana" w:eastAsia="Times New Roman" w:hAnsi="Verdana" w:cs="Times New Roman"/>
          <w:sz w:val="20"/>
          <w:szCs w:val="24"/>
          <w:lang w:eastAsia="it-IT"/>
        </w:rPr>
        <w:t>e che,</w:t>
      </w:r>
      <w:r w:rsidR="002631C8">
        <w:rPr>
          <w:rFonts w:ascii="Verdana" w:eastAsia="Times New Roman" w:hAnsi="Verdana" w:cs="Times New Roman"/>
          <w:sz w:val="20"/>
          <w:szCs w:val="24"/>
          <w:lang w:eastAsia="it-IT"/>
        </w:rPr>
        <w:t xml:space="preserve"> se pure</w:t>
      </w:r>
      <w:r w:rsidR="00F51678">
        <w:rPr>
          <w:rFonts w:ascii="Verdana" w:eastAsia="Times New Roman" w:hAnsi="Verdana" w:cs="Times New Roman"/>
          <w:sz w:val="20"/>
          <w:szCs w:val="24"/>
          <w:lang w:eastAsia="it-IT"/>
        </w:rPr>
        <w:t xml:space="preserve"> la nozione di contabilità pubblica debba essere</w:t>
      </w:r>
      <w:r w:rsidR="002631C8">
        <w:rPr>
          <w:rFonts w:ascii="Verdana" w:eastAsia="Times New Roman" w:hAnsi="Verdana" w:cs="Times New Roman"/>
          <w:sz w:val="20"/>
          <w:szCs w:val="24"/>
          <w:lang w:eastAsia="it-IT"/>
        </w:rPr>
        <w:t xml:space="preserve"> intesa in senso dinamico</w:t>
      </w:r>
      <w:r w:rsidR="003D2935">
        <w:rPr>
          <w:rFonts w:ascii="Verdana" w:eastAsia="Times New Roman" w:hAnsi="Verdana" w:cs="Times New Roman"/>
          <w:sz w:val="20"/>
          <w:szCs w:val="24"/>
          <w:lang w:eastAsia="it-IT"/>
        </w:rPr>
        <w:t xml:space="preserve"> </w:t>
      </w:r>
      <w:r w:rsidR="0017102F">
        <w:rPr>
          <w:rFonts w:ascii="Verdana" w:eastAsia="Times New Roman" w:hAnsi="Verdana" w:cs="Times New Roman"/>
          <w:sz w:val="20"/>
          <w:szCs w:val="24"/>
          <w:lang w:eastAsia="it-IT"/>
        </w:rPr>
        <w:t>e quindi riconducib</w:t>
      </w:r>
      <w:r w:rsidR="00C66966">
        <w:rPr>
          <w:rFonts w:ascii="Verdana" w:eastAsia="Times New Roman" w:hAnsi="Verdana" w:cs="Times New Roman"/>
          <w:sz w:val="20"/>
          <w:szCs w:val="24"/>
          <w:lang w:eastAsia="it-IT"/>
        </w:rPr>
        <w:t xml:space="preserve">ile </w:t>
      </w:r>
      <w:r w:rsidR="006D481C">
        <w:rPr>
          <w:rFonts w:ascii="Verdana" w:eastAsia="Times New Roman" w:hAnsi="Verdana" w:cs="Times New Roman"/>
          <w:sz w:val="20"/>
          <w:szCs w:val="24"/>
          <w:lang w:eastAsia="it-IT"/>
        </w:rPr>
        <w:t>anche alle modalità di u</w:t>
      </w:r>
      <w:r w:rsidR="003D2935">
        <w:rPr>
          <w:rFonts w:ascii="Verdana" w:eastAsia="Times New Roman" w:hAnsi="Verdana" w:cs="Times New Roman"/>
          <w:sz w:val="20"/>
          <w:szCs w:val="24"/>
          <w:lang w:eastAsia="it-IT"/>
        </w:rPr>
        <w:t>tilizzo delle risorse pubbliche</w:t>
      </w:r>
      <w:r w:rsidR="006D481C">
        <w:rPr>
          <w:rFonts w:ascii="Verdana" w:eastAsia="Times New Roman" w:hAnsi="Verdana" w:cs="Times New Roman"/>
          <w:sz w:val="20"/>
          <w:szCs w:val="24"/>
          <w:lang w:eastAsia="it-IT"/>
        </w:rPr>
        <w:t>,</w:t>
      </w:r>
      <w:r w:rsidR="00E1343F">
        <w:rPr>
          <w:rFonts w:ascii="Verdana" w:eastAsia="Times New Roman" w:hAnsi="Verdana" w:cs="Times New Roman"/>
          <w:sz w:val="20"/>
          <w:szCs w:val="24"/>
          <w:lang w:eastAsia="it-IT"/>
        </w:rPr>
        <w:t xml:space="preserve"> </w:t>
      </w:r>
      <w:r w:rsidR="006D481C">
        <w:rPr>
          <w:rFonts w:ascii="Verdana" w:eastAsia="Times New Roman" w:hAnsi="Verdana" w:cs="Times New Roman"/>
          <w:sz w:val="20"/>
          <w:szCs w:val="24"/>
          <w:lang w:eastAsia="it-IT"/>
        </w:rPr>
        <w:t xml:space="preserve">alla sana gestione e agli </w:t>
      </w:r>
      <w:r w:rsidR="006D481C">
        <w:rPr>
          <w:rFonts w:ascii="Verdana" w:eastAsia="Times New Roman" w:hAnsi="Verdana" w:cs="Times New Roman"/>
          <w:sz w:val="20"/>
          <w:szCs w:val="24"/>
          <w:lang w:eastAsia="it-IT"/>
        </w:rPr>
        <w:lastRenderedPageBreak/>
        <w:t>equilibri di bilancio</w:t>
      </w:r>
      <w:r w:rsidR="002631C8">
        <w:rPr>
          <w:rFonts w:ascii="Verdana" w:eastAsia="Times New Roman" w:hAnsi="Verdana" w:cs="Times New Roman"/>
          <w:sz w:val="20"/>
          <w:szCs w:val="24"/>
          <w:lang w:eastAsia="it-IT"/>
        </w:rPr>
        <w:t>,</w:t>
      </w:r>
      <w:r w:rsidR="0063128D">
        <w:rPr>
          <w:rFonts w:ascii="Verdana" w:eastAsia="Times New Roman" w:hAnsi="Verdana" w:cs="Times New Roman"/>
          <w:sz w:val="20"/>
          <w:szCs w:val="24"/>
          <w:lang w:eastAsia="it-IT"/>
        </w:rPr>
        <w:t xml:space="preserve"> non può ritenersi</w:t>
      </w:r>
      <w:r w:rsidR="00E22055">
        <w:rPr>
          <w:rFonts w:ascii="Verdana" w:eastAsia="Times New Roman" w:hAnsi="Verdana" w:cs="Times New Roman"/>
          <w:sz w:val="20"/>
          <w:szCs w:val="24"/>
          <w:lang w:eastAsia="it-IT"/>
        </w:rPr>
        <w:t xml:space="preserve"> </w:t>
      </w:r>
      <w:r w:rsidR="00821EDB">
        <w:rPr>
          <w:rFonts w:ascii="Verdana" w:eastAsia="Times New Roman" w:hAnsi="Verdana" w:cs="Times New Roman"/>
          <w:sz w:val="20"/>
          <w:szCs w:val="24"/>
          <w:lang w:eastAsia="it-IT"/>
        </w:rPr>
        <w:t>che</w:t>
      </w:r>
      <w:r w:rsidR="003D2935">
        <w:rPr>
          <w:rFonts w:ascii="Verdana" w:eastAsia="Times New Roman" w:hAnsi="Verdana" w:cs="Times New Roman"/>
          <w:sz w:val="20"/>
          <w:szCs w:val="24"/>
          <w:lang w:eastAsia="it-IT"/>
        </w:rPr>
        <w:t xml:space="preserve"> in essa rientri “</w:t>
      </w:r>
      <w:r w:rsidR="0017102F">
        <w:rPr>
          <w:rFonts w:ascii="Verdana" w:eastAsia="Times New Roman" w:hAnsi="Verdana" w:cs="Times New Roman"/>
          <w:sz w:val="20"/>
          <w:szCs w:val="24"/>
          <w:lang w:eastAsia="it-IT"/>
        </w:rPr>
        <w:t>qualsivoglia attività</w:t>
      </w:r>
      <w:r w:rsidR="00BD1B4B">
        <w:rPr>
          <w:rFonts w:ascii="Verdana" w:eastAsia="Times New Roman" w:hAnsi="Verdana" w:cs="Times New Roman"/>
          <w:sz w:val="20"/>
          <w:szCs w:val="24"/>
          <w:lang w:eastAsia="it-IT"/>
        </w:rPr>
        <w:t xml:space="preserve"> degli Enti che abbia</w:t>
      </w:r>
      <w:r w:rsidR="003D2935">
        <w:rPr>
          <w:rFonts w:ascii="Verdana" w:eastAsia="Times New Roman" w:hAnsi="Verdana" w:cs="Times New Roman"/>
          <w:sz w:val="20"/>
          <w:szCs w:val="24"/>
          <w:lang w:eastAsia="it-IT"/>
        </w:rPr>
        <w:t>, comunque</w:t>
      </w:r>
      <w:r w:rsidR="0017102F">
        <w:rPr>
          <w:rFonts w:ascii="Verdana" w:eastAsia="Times New Roman" w:hAnsi="Verdana" w:cs="Times New Roman"/>
          <w:sz w:val="20"/>
          <w:szCs w:val="24"/>
          <w:lang w:eastAsia="it-IT"/>
        </w:rPr>
        <w:t>,</w:t>
      </w:r>
      <w:r w:rsidR="00BD1B4B">
        <w:rPr>
          <w:rFonts w:ascii="Verdana" w:eastAsia="Times New Roman" w:hAnsi="Verdana" w:cs="Times New Roman"/>
          <w:sz w:val="20"/>
          <w:szCs w:val="24"/>
          <w:lang w:eastAsia="it-IT"/>
        </w:rPr>
        <w:t xml:space="preserve"> </w:t>
      </w:r>
      <w:r w:rsidR="0017102F">
        <w:rPr>
          <w:rFonts w:ascii="Verdana" w:eastAsia="Times New Roman" w:hAnsi="Verdana" w:cs="Times New Roman"/>
          <w:sz w:val="20"/>
          <w:szCs w:val="24"/>
          <w:lang w:eastAsia="it-IT"/>
        </w:rPr>
        <w:t>riflessi di natura finanziaria</w:t>
      </w:r>
      <w:r w:rsidR="002A2A0E">
        <w:rPr>
          <w:rFonts w:ascii="Verdana" w:eastAsia="Times New Roman" w:hAnsi="Verdana" w:cs="Times New Roman"/>
          <w:sz w:val="20"/>
          <w:szCs w:val="24"/>
          <w:lang w:eastAsia="it-IT"/>
        </w:rPr>
        <w:t>”</w:t>
      </w:r>
      <w:r w:rsidR="00E1343F">
        <w:rPr>
          <w:rFonts w:ascii="Verdana" w:eastAsia="Times New Roman" w:hAnsi="Verdana" w:cs="Times New Roman"/>
          <w:sz w:val="20"/>
          <w:szCs w:val="24"/>
          <w:lang w:eastAsia="it-IT"/>
        </w:rPr>
        <w:t>.</w:t>
      </w:r>
      <w:r w:rsidR="003D2935">
        <w:rPr>
          <w:rFonts w:ascii="Verdana" w:eastAsia="Times New Roman" w:hAnsi="Verdana" w:cs="Times New Roman"/>
          <w:sz w:val="20"/>
          <w:szCs w:val="24"/>
          <w:lang w:eastAsia="it-IT"/>
        </w:rPr>
        <w:t xml:space="preserve"> </w:t>
      </w:r>
      <w:r w:rsidR="00E1343F">
        <w:rPr>
          <w:rFonts w:ascii="Verdana" w:eastAsia="Times New Roman" w:hAnsi="Verdana" w:cs="Times New Roman"/>
          <w:sz w:val="20"/>
          <w:szCs w:val="24"/>
          <w:lang w:eastAsia="it-IT"/>
        </w:rPr>
        <w:t>La nozione di contabilità pubblica</w:t>
      </w:r>
      <w:r w:rsidR="00821EDB">
        <w:rPr>
          <w:rFonts w:ascii="Verdana" w:eastAsia="Times New Roman" w:hAnsi="Verdana" w:cs="Times New Roman"/>
          <w:sz w:val="20"/>
          <w:szCs w:val="24"/>
          <w:lang w:eastAsia="it-IT"/>
        </w:rPr>
        <w:t xml:space="preserve"> deve</w:t>
      </w:r>
      <w:r w:rsidR="0063128D">
        <w:rPr>
          <w:rFonts w:ascii="Verdana" w:eastAsia="Times New Roman" w:hAnsi="Verdana" w:cs="Times New Roman"/>
          <w:sz w:val="20"/>
          <w:szCs w:val="24"/>
          <w:lang w:eastAsia="it-IT"/>
        </w:rPr>
        <w:t>, infatti,</w:t>
      </w:r>
      <w:r w:rsidR="00821EDB">
        <w:rPr>
          <w:rFonts w:ascii="Verdana" w:eastAsia="Times New Roman" w:hAnsi="Verdana" w:cs="Times New Roman"/>
          <w:sz w:val="20"/>
          <w:szCs w:val="24"/>
          <w:lang w:eastAsia="it-IT"/>
        </w:rPr>
        <w:t xml:space="preserve"> assumere</w:t>
      </w:r>
      <w:r w:rsidR="00E22055">
        <w:rPr>
          <w:rFonts w:ascii="Verdana" w:eastAsia="Times New Roman" w:hAnsi="Verdana" w:cs="Times New Roman"/>
          <w:sz w:val="20"/>
          <w:szCs w:val="24"/>
          <w:lang w:eastAsia="it-IT"/>
        </w:rPr>
        <w:t xml:space="preserve"> “</w:t>
      </w:r>
      <w:r w:rsidR="002B5E7B" w:rsidRPr="002B5E7B">
        <w:rPr>
          <w:rFonts w:ascii="Verdana" w:eastAsia="Times New Roman" w:hAnsi="Verdana" w:cs="Times New Roman"/>
          <w:sz w:val="20"/>
          <w:szCs w:val="24"/>
          <w:lang w:eastAsia="it-IT"/>
        </w:rPr>
        <w:t>un ambito limitato alle normative e ai relativi atti applicativi che disciplinano in generale l’attività finanziaria che precede o che segue i distinti interventi di settore, ricomprendendo in particolare la disciplina dei bilanci ed i relativi equilibri, l’acquisizione delle entrate, l’organizzazione finanziaria-contabile, la disciplina del patrimonio, la gestione della spesa, l’in</w:t>
      </w:r>
      <w:r w:rsidR="002B5E7B">
        <w:rPr>
          <w:rFonts w:ascii="Verdana" w:eastAsia="Times New Roman" w:hAnsi="Verdana" w:cs="Times New Roman"/>
          <w:sz w:val="20"/>
          <w:szCs w:val="24"/>
          <w:lang w:eastAsia="it-IT"/>
        </w:rPr>
        <w:t xml:space="preserve">debitamento, la rendicontazione </w:t>
      </w:r>
      <w:r w:rsidR="002B5E7B" w:rsidRPr="002B5E7B">
        <w:rPr>
          <w:rFonts w:ascii="Verdana" w:eastAsia="Times New Roman" w:hAnsi="Verdana" w:cs="Times New Roman"/>
          <w:sz w:val="20"/>
          <w:szCs w:val="24"/>
          <w:lang w:eastAsia="it-IT"/>
        </w:rPr>
        <w:t>ed i relativi controlli”.</w:t>
      </w:r>
      <w:r w:rsidR="00F51678">
        <w:rPr>
          <w:rFonts w:ascii="Verdana" w:eastAsia="Times New Roman" w:hAnsi="Verdana" w:cs="Times New Roman"/>
          <w:sz w:val="20"/>
          <w:szCs w:val="24"/>
          <w:lang w:eastAsia="it-IT"/>
        </w:rPr>
        <w:t xml:space="preserve"> Inoltre oggetto di</w:t>
      </w:r>
      <w:r w:rsidR="008F77E8">
        <w:rPr>
          <w:rFonts w:ascii="Verdana" w:eastAsia="Times New Roman" w:hAnsi="Verdana" w:cs="Times New Roman"/>
          <w:sz w:val="20"/>
          <w:szCs w:val="24"/>
          <w:lang w:eastAsia="it-IT"/>
        </w:rPr>
        <w:t xml:space="preserve"> richiesta di parere </w:t>
      </w:r>
      <w:r w:rsidR="00F51678">
        <w:rPr>
          <w:rFonts w:ascii="Verdana" w:eastAsia="Times New Roman" w:hAnsi="Verdana" w:cs="Times New Roman"/>
          <w:sz w:val="20"/>
          <w:szCs w:val="24"/>
          <w:lang w:eastAsia="it-IT"/>
        </w:rPr>
        <w:t>possono essere solo le questioni che richiedono un esame generale e ast</w:t>
      </w:r>
      <w:r w:rsidR="003D2935">
        <w:rPr>
          <w:rFonts w:ascii="Verdana" w:eastAsia="Times New Roman" w:hAnsi="Verdana" w:cs="Times New Roman"/>
          <w:sz w:val="20"/>
          <w:szCs w:val="24"/>
          <w:lang w:eastAsia="it-IT"/>
        </w:rPr>
        <w:t>ratto e non valutazioni su casi</w:t>
      </w:r>
      <w:r w:rsidR="00F51678">
        <w:rPr>
          <w:rFonts w:ascii="Verdana" w:eastAsia="Times New Roman" w:hAnsi="Verdana" w:cs="Times New Roman"/>
          <w:sz w:val="20"/>
          <w:szCs w:val="24"/>
          <w:lang w:eastAsia="it-IT"/>
        </w:rPr>
        <w:t xml:space="preserve"> specifici che possono d</w:t>
      </w:r>
      <w:r w:rsidR="008F77E8">
        <w:rPr>
          <w:rFonts w:ascii="Verdana" w:eastAsia="Times New Roman" w:hAnsi="Verdana" w:cs="Times New Roman"/>
          <w:sz w:val="20"/>
          <w:szCs w:val="24"/>
          <w:lang w:eastAsia="it-IT"/>
        </w:rPr>
        <w:t>eterminare una ingerenza della C</w:t>
      </w:r>
      <w:r w:rsidR="00F51678">
        <w:rPr>
          <w:rFonts w:ascii="Verdana" w:eastAsia="Times New Roman" w:hAnsi="Verdana" w:cs="Times New Roman"/>
          <w:sz w:val="20"/>
          <w:szCs w:val="24"/>
          <w:lang w:eastAsia="it-IT"/>
        </w:rPr>
        <w:t>orte nell’amministrazione attiva dell’Ente.</w:t>
      </w:r>
      <w:r w:rsidR="006D481C">
        <w:rPr>
          <w:rFonts w:ascii="Verdana" w:eastAsia="Times New Roman" w:hAnsi="Verdana" w:cs="Times New Roman"/>
          <w:sz w:val="20"/>
          <w:szCs w:val="24"/>
          <w:lang w:eastAsia="it-IT"/>
        </w:rPr>
        <w:t xml:space="preserve"> </w:t>
      </w:r>
    </w:p>
    <w:p w:rsidR="00FE60C8" w:rsidRDefault="0063128D" w:rsidP="00E84D1F">
      <w:pPr>
        <w:spacing w:before="120" w:after="120" w:line="360" w:lineRule="auto"/>
        <w:ind w:firstLine="567"/>
        <w:jc w:val="both"/>
        <w:rPr>
          <w:rFonts w:ascii="Verdana" w:eastAsia="Times New Roman" w:hAnsi="Verdana" w:cs="Times New Roman"/>
          <w:sz w:val="20"/>
          <w:szCs w:val="24"/>
          <w:lang w:eastAsia="it-IT"/>
        </w:rPr>
      </w:pPr>
      <w:r>
        <w:rPr>
          <w:rFonts w:ascii="Verdana" w:eastAsia="Times New Roman" w:hAnsi="Verdana" w:cs="Times New Roman"/>
          <w:sz w:val="20"/>
          <w:szCs w:val="24"/>
          <w:lang w:eastAsia="it-IT"/>
        </w:rPr>
        <w:t>Nella specie, i</w:t>
      </w:r>
      <w:r w:rsidR="003D2935">
        <w:rPr>
          <w:rFonts w:ascii="Verdana" w:eastAsia="Times New Roman" w:hAnsi="Verdana" w:cs="Times New Roman"/>
          <w:sz w:val="20"/>
          <w:szCs w:val="24"/>
          <w:lang w:eastAsia="it-IT"/>
        </w:rPr>
        <w:t xml:space="preserve"> quesiti prospettati</w:t>
      </w:r>
      <w:r w:rsidR="008F77E8">
        <w:rPr>
          <w:rFonts w:ascii="Verdana" w:eastAsia="Times New Roman" w:hAnsi="Verdana" w:cs="Times New Roman"/>
          <w:sz w:val="20"/>
          <w:szCs w:val="24"/>
          <w:lang w:eastAsia="it-IT"/>
        </w:rPr>
        <w:t xml:space="preserve"> </w:t>
      </w:r>
      <w:r w:rsidR="006D481C">
        <w:rPr>
          <w:rFonts w:ascii="Verdana" w:eastAsia="Times New Roman" w:hAnsi="Verdana" w:cs="Times New Roman"/>
          <w:sz w:val="20"/>
          <w:szCs w:val="24"/>
          <w:lang w:eastAsia="it-IT"/>
        </w:rPr>
        <w:t>non possono essere considerati ammissibi</w:t>
      </w:r>
      <w:r w:rsidR="003D2935">
        <w:rPr>
          <w:rFonts w:ascii="Verdana" w:eastAsia="Times New Roman" w:hAnsi="Verdana" w:cs="Times New Roman"/>
          <w:sz w:val="20"/>
          <w:szCs w:val="24"/>
          <w:lang w:eastAsia="it-IT"/>
        </w:rPr>
        <w:t>li dal punto di vista oggettivo perché, nel</w:t>
      </w:r>
      <w:r w:rsidR="006D481C">
        <w:rPr>
          <w:rFonts w:ascii="Verdana" w:eastAsia="Times New Roman" w:hAnsi="Verdana" w:cs="Times New Roman"/>
          <w:sz w:val="20"/>
          <w:szCs w:val="24"/>
          <w:lang w:eastAsia="it-IT"/>
        </w:rPr>
        <w:t xml:space="preserve"> rappresentare una</w:t>
      </w:r>
      <w:r w:rsidR="008F77E8">
        <w:rPr>
          <w:rFonts w:ascii="Verdana" w:eastAsia="Times New Roman" w:hAnsi="Verdana" w:cs="Times New Roman"/>
          <w:sz w:val="20"/>
          <w:szCs w:val="24"/>
          <w:lang w:eastAsia="it-IT"/>
        </w:rPr>
        <w:t xml:space="preserve"> fattispecie concreta, vertono</w:t>
      </w:r>
      <w:r>
        <w:rPr>
          <w:rFonts w:ascii="Verdana" w:eastAsia="Times New Roman" w:hAnsi="Verdana" w:cs="Times New Roman"/>
          <w:sz w:val="20"/>
          <w:szCs w:val="24"/>
          <w:lang w:eastAsia="it-IT"/>
        </w:rPr>
        <w:t>,</w:t>
      </w:r>
      <w:r w:rsidR="001E51E9">
        <w:rPr>
          <w:rFonts w:ascii="Verdana" w:eastAsia="Times New Roman" w:hAnsi="Verdana" w:cs="Times New Roman"/>
          <w:sz w:val="20"/>
          <w:szCs w:val="24"/>
          <w:lang w:eastAsia="it-IT"/>
        </w:rPr>
        <w:t xml:space="preserve"> l’uno</w:t>
      </w:r>
      <w:r>
        <w:rPr>
          <w:rFonts w:ascii="Verdana" w:eastAsia="Times New Roman" w:hAnsi="Verdana" w:cs="Times New Roman"/>
          <w:sz w:val="20"/>
          <w:szCs w:val="24"/>
          <w:lang w:eastAsia="it-IT"/>
        </w:rPr>
        <w:t>,</w:t>
      </w:r>
      <w:r w:rsidR="001E51E9">
        <w:rPr>
          <w:rFonts w:ascii="Verdana" w:eastAsia="Times New Roman" w:hAnsi="Verdana" w:cs="Times New Roman"/>
          <w:sz w:val="20"/>
          <w:szCs w:val="24"/>
          <w:lang w:eastAsia="it-IT"/>
        </w:rPr>
        <w:t xml:space="preserve"> </w:t>
      </w:r>
      <w:r w:rsidR="006D481C">
        <w:rPr>
          <w:rFonts w:ascii="Verdana" w:eastAsia="Times New Roman" w:hAnsi="Verdana" w:cs="Times New Roman"/>
          <w:sz w:val="20"/>
          <w:szCs w:val="24"/>
          <w:lang w:eastAsia="it-IT"/>
        </w:rPr>
        <w:t>su</w:t>
      </w:r>
      <w:r w:rsidR="001F25DB">
        <w:rPr>
          <w:rFonts w:ascii="Verdana" w:eastAsia="Times New Roman" w:hAnsi="Verdana" w:cs="Times New Roman"/>
          <w:sz w:val="20"/>
          <w:szCs w:val="24"/>
          <w:lang w:eastAsia="it-IT"/>
        </w:rPr>
        <w:t>ll</w:t>
      </w:r>
      <w:r w:rsidR="008F77E8">
        <w:rPr>
          <w:rFonts w:ascii="Verdana" w:eastAsia="Times New Roman" w:hAnsi="Verdana" w:cs="Times New Roman"/>
          <w:sz w:val="20"/>
          <w:szCs w:val="24"/>
          <w:lang w:eastAsia="it-IT"/>
        </w:rPr>
        <w:t xml:space="preserve">a verifica di assoggettabilità </w:t>
      </w:r>
      <w:r w:rsidR="001F25DB">
        <w:rPr>
          <w:rFonts w:ascii="Verdana" w:eastAsia="Times New Roman" w:hAnsi="Verdana" w:cs="Times New Roman"/>
          <w:sz w:val="20"/>
          <w:szCs w:val="24"/>
          <w:lang w:eastAsia="it-IT"/>
        </w:rPr>
        <w:t>di un ente in liquidazione al regime di limitazioni previsto dall’art.</w:t>
      </w:r>
      <w:r>
        <w:rPr>
          <w:rFonts w:ascii="Verdana" w:eastAsia="Times New Roman" w:hAnsi="Verdana" w:cs="Times New Roman"/>
          <w:sz w:val="20"/>
          <w:szCs w:val="24"/>
          <w:lang w:eastAsia="it-IT"/>
        </w:rPr>
        <w:t xml:space="preserve"> </w:t>
      </w:r>
      <w:r w:rsidR="001F25DB">
        <w:rPr>
          <w:rFonts w:ascii="Verdana" w:eastAsia="Times New Roman" w:hAnsi="Verdana" w:cs="Times New Roman"/>
          <w:sz w:val="20"/>
          <w:szCs w:val="24"/>
          <w:lang w:eastAsia="it-IT"/>
        </w:rPr>
        <w:t>1</w:t>
      </w:r>
      <w:r w:rsidR="001E51E9">
        <w:rPr>
          <w:rFonts w:ascii="Verdana" w:eastAsia="Times New Roman" w:hAnsi="Verdana" w:cs="Times New Roman"/>
          <w:sz w:val="20"/>
          <w:szCs w:val="24"/>
          <w:lang w:eastAsia="it-IT"/>
        </w:rPr>
        <w:t xml:space="preserve">, comma </w:t>
      </w:r>
      <w:r w:rsidR="001F25DB">
        <w:rPr>
          <w:rFonts w:ascii="Verdana" w:eastAsia="Times New Roman" w:hAnsi="Verdana" w:cs="Times New Roman"/>
          <w:sz w:val="20"/>
          <w:szCs w:val="24"/>
          <w:lang w:eastAsia="it-IT"/>
        </w:rPr>
        <w:t>47</w:t>
      </w:r>
      <w:r w:rsidR="001E51E9">
        <w:rPr>
          <w:rFonts w:ascii="Verdana" w:eastAsia="Times New Roman" w:hAnsi="Verdana" w:cs="Times New Roman"/>
          <w:sz w:val="20"/>
          <w:szCs w:val="24"/>
          <w:lang w:eastAsia="it-IT"/>
        </w:rPr>
        <w:t>,</w:t>
      </w:r>
      <w:r>
        <w:rPr>
          <w:rFonts w:ascii="Verdana" w:eastAsia="Times New Roman" w:hAnsi="Verdana" w:cs="Times New Roman"/>
          <w:sz w:val="20"/>
          <w:szCs w:val="24"/>
          <w:lang w:eastAsia="it-IT"/>
        </w:rPr>
        <w:t xml:space="preserve"> l. n.</w:t>
      </w:r>
      <w:r w:rsidR="001F25DB">
        <w:rPr>
          <w:rFonts w:ascii="Verdana" w:eastAsia="Times New Roman" w:hAnsi="Verdana" w:cs="Times New Roman"/>
          <w:sz w:val="20"/>
          <w:szCs w:val="24"/>
          <w:lang w:eastAsia="it-IT"/>
        </w:rPr>
        <w:t xml:space="preserve"> 131/2004</w:t>
      </w:r>
      <w:r w:rsidR="008F77E8">
        <w:rPr>
          <w:rFonts w:ascii="Verdana" w:eastAsia="Times New Roman" w:hAnsi="Verdana" w:cs="Times New Roman"/>
          <w:sz w:val="20"/>
          <w:szCs w:val="24"/>
          <w:lang w:eastAsia="it-IT"/>
        </w:rPr>
        <w:t xml:space="preserve"> per consentire la mobilità intercompartimentale</w:t>
      </w:r>
      <w:r>
        <w:rPr>
          <w:rFonts w:ascii="Verdana" w:eastAsia="Times New Roman" w:hAnsi="Verdana" w:cs="Times New Roman"/>
          <w:sz w:val="20"/>
          <w:szCs w:val="24"/>
          <w:lang w:eastAsia="it-IT"/>
        </w:rPr>
        <w:t xml:space="preserve"> del personale </w:t>
      </w:r>
      <w:r w:rsidR="004E554C">
        <w:rPr>
          <w:rFonts w:ascii="Verdana" w:eastAsia="Times New Roman" w:hAnsi="Verdana" w:cs="Times New Roman"/>
          <w:sz w:val="20"/>
          <w:szCs w:val="24"/>
          <w:lang w:eastAsia="it-IT"/>
        </w:rPr>
        <w:t>(</w:t>
      </w:r>
      <w:r>
        <w:rPr>
          <w:rFonts w:ascii="Verdana" w:eastAsia="Times New Roman" w:hAnsi="Verdana" w:cs="Times New Roman"/>
          <w:sz w:val="20"/>
          <w:szCs w:val="24"/>
          <w:lang w:eastAsia="it-IT"/>
        </w:rPr>
        <w:t>argomento su</w:t>
      </w:r>
      <w:r w:rsidR="004E554C">
        <w:rPr>
          <w:rFonts w:ascii="Verdana" w:eastAsia="Times New Roman" w:hAnsi="Verdana" w:cs="Times New Roman"/>
          <w:sz w:val="20"/>
          <w:szCs w:val="24"/>
          <w:lang w:eastAsia="it-IT"/>
        </w:rPr>
        <w:t>l</w:t>
      </w:r>
      <w:r>
        <w:rPr>
          <w:rFonts w:ascii="Verdana" w:eastAsia="Times New Roman" w:hAnsi="Verdana" w:cs="Times New Roman"/>
          <w:sz w:val="20"/>
          <w:szCs w:val="24"/>
          <w:lang w:eastAsia="it-IT"/>
        </w:rPr>
        <w:t xml:space="preserve"> </w:t>
      </w:r>
      <w:r w:rsidR="004E554C">
        <w:rPr>
          <w:rFonts w:ascii="Verdana" w:eastAsia="Times New Roman" w:hAnsi="Verdana" w:cs="Times New Roman"/>
          <w:sz w:val="20"/>
          <w:szCs w:val="24"/>
          <w:lang w:eastAsia="it-IT"/>
        </w:rPr>
        <w:t>quale</w:t>
      </w:r>
      <w:r>
        <w:rPr>
          <w:rFonts w:ascii="Verdana" w:eastAsia="Times New Roman" w:hAnsi="Verdana" w:cs="Times New Roman"/>
          <w:sz w:val="20"/>
          <w:szCs w:val="24"/>
          <w:lang w:eastAsia="it-IT"/>
        </w:rPr>
        <w:t xml:space="preserve"> si è espresso in</w:t>
      </w:r>
      <w:r w:rsidR="00D66E13">
        <w:rPr>
          <w:rFonts w:ascii="Verdana" w:eastAsia="Times New Roman" w:hAnsi="Verdana" w:cs="Times New Roman"/>
          <w:sz w:val="20"/>
          <w:szCs w:val="24"/>
          <w:lang w:eastAsia="it-IT"/>
        </w:rPr>
        <w:t xml:space="preserve"> fattispecie</w:t>
      </w:r>
      <w:r w:rsidR="001E51E9">
        <w:rPr>
          <w:rFonts w:ascii="Verdana" w:eastAsia="Times New Roman" w:hAnsi="Verdana" w:cs="Times New Roman"/>
          <w:sz w:val="20"/>
          <w:szCs w:val="24"/>
          <w:lang w:eastAsia="it-IT"/>
        </w:rPr>
        <w:t xml:space="preserve"> simili</w:t>
      </w:r>
      <w:r w:rsidR="00D66E13">
        <w:rPr>
          <w:rFonts w:ascii="Verdana" w:eastAsia="Times New Roman" w:hAnsi="Verdana" w:cs="Times New Roman"/>
          <w:sz w:val="20"/>
          <w:szCs w:val="24"/>
          <w:lang w:eastAsia="it-IT"/>
        </w:rPr>
        <w:t xml:space="preserve"> il Dipar</w:t>
      </w:r>
      <w:r>
        <w:rPr>
          <w:rFonts w:ascii="Verdana" w:eastAsia="Times New Roman" w:hAnsi="Verdana" w:cs="Times New Roman"/>
          <w:sz w:val="20"/>
          <w:szCs w:val="24"/>
          <w:lang w:eastAsia="it-IT"/>
        </w:rPr>
        <w:t>timento della f</w:t>
      </w:r>
      <w:r w:rsidR="003D2935">
        <w:rPr>
          <w:rFonts w:ascii="Verdana" w:eastAsia="Times New Roman" w:hAnsi="Verdana" w:cs="Times New Roman"/>
          <w:sz w:val="20"/>
          <w:szCs w:val="24"/>
          <w:lang w:eastAsia="it-IT"/>
        </w:rPr>
        <w:t>unzione</w:t>
      </w:r>
      <w:r>
        <w:rPr>
          <w:rFonts w:ascii="Verdana" w:eastAsia="Times New Roman" w:hAnsi="Verdana" w:cs="Times New Roman"/>
          <w:sz w:val="20"/>
          <w:szCs w:val="24"/>
          <w:lang w:eastAsia="it-IT"/>
        </w:rPr>
        <w:t xml:space="preserve"> p</w:t>
      </w:r>
      <w:r w:rsidR="003D2935">
        <w:rPr>
          <w:rFonts w:ascii="Verdana" w:eastAsia="Times New Roman" w:hAnsi="Verdana" w:cs="Times New Roman"/>
          <w:sz w:val="20"/>
          <w:szCs w:val="24"/>
          <w:lang w:eastAsia="it-IT"/>
        </w:rPr>
        <w:t>ubblica</w:t>
      </w:r>
      <w:r>
        <w:rPr>
          <w:rFonts w:ascii="Verdana" w:eastAsia="Times New Roman" w:hAnsi="Verdana" w:cs="Times New Roman"/>
          <w:sz w:val="20"/>
          <w:szCs w:val="24"/>
          <w:lang w:eastAsia="it-IT"/>
        </w:rPr>
        <w:t>, competente per la citata verifica</w:t>
      </w:r>
      <w:r w:rsidR="004E554C">
        <w:rPr>
          <w:rFonts w:ascii="Verdana" w:eastAsia="Times New Roman" w:hAnsi="Verdana" w:cs="Times New Roman"/>
          <w:sz w:val="20"/>
          <w:szCs w:val="24"/>
          <w:lang w:eastAsia="it-IT"/>
        </w:rPr>
        <w:t>)</w:t>
      </w:r>
      <w:r>
        <w:rPr>
          <w:rFonts w:ascii="Verdana" w:eastAsia="Times New Roman" w:hAnsi="Verdana" w:cs="Times New Roman"/>
          <w:sz w:val="20"/>
          <w:szCs w:val="24"/>
          <w:lang w:eastAsia="it-IT"/>
        </w:rPr>
        <w:t>;</w:t>
      </w:r>
      <w:r w:rsidR="001E51E9">
        <w:rPr>
          <w:rFonts w:ascii="Verdana" w:eastAsia="Times New Roman" w:hAnsi="Verdana" w:cs="Times New Roman"/>
          <w:sz w:val="20"/>
          <w:szCs w:val="24"/>
          <w:lang w:eastAsia="it-IT"/>
        </w:rPr>
        <w:t xml:space="preserve"> l’altro </w:t>
      </w:r>
      <w:r w:rsidR="001F25DB">
        <w:rPr>
          <w:rFonts w:ascii="Verdana" w:eastAsia="Times New Roman" w:hAnsi="Verdana" w:cs="Times New Roman"/>
          <w:sz w:val="20"/>
          <w:szCs w:val="24"/>
          <w:lang w:eastAsia="it-IT"/>
        </w:rPr>
        <w:t>sulle modalità o</w:t>
      </w:r>
      <w:r w:rsidR="003D2935">
        <w:rPr>
          <w:rFonts w:ascii="Verdana" w:eastAsia="Times New Roman" w:hAnsi="Verdana" w:cs="Times New Roman"/>
          <w:sz w:val="20"/>
          <w:szCs w:val="24"/>
          <w:lang w:eastAsia="it-IT"/>
        </w:rPr>
        <w:t>perative di applicazione di una norma</w:t>
      </w:r>
      <w:r w:rsidR="001F25DB">
        <w:rPr>
          <w:rFonts w:ascii="Verdana" w:eastAsia="Times New Roman" w:hAnsi="Verdana" w:cs="Times New Roman"/>
          <w:sz w:val="20"/>
          <w:szCs w:val="24"/>
          <w:lang w:eastAsia="it-IT"/>
        </w:rPr>
        <w:t xml:space="preserve"> del testo unico sul pubblico impiego</w:t>
      </w:r>
      <w:r w:rsidR="003D2935">
        <w:rPr>
          <w:rFonts w:ascii="Verdana" w:eastAsia="Times New Roman" w:hAnsi="Verdana" w:cs="Times New Roman"/>
          <w:sz w:val="20"/>
          <w:szCs w:val="24"/>
          <w:lang w:eastAsia="it-IT"/>
        </w:rPr>
        <w:t>, oltretutto</w:t>
      </w:r>
      <w:r w:rsidR="002A2A0E">
        <w:rPr>
          <w:rFonts w:ascii="Verdana" w:eastAsia="Times New Roman" w:hAnsi="Verdana" w:cs="Times New Roman"/>
          <w:sz w:val="20"/>
          <w:szCs w:val="24"/>
          <w:lang w:eastAsia="it-IT"/>
        </w:rPr>
        <w:t xml:space="preserve"> abrogata dalla l.</w:t>
      </w:r>
      <w:r w:rsidR="008F77E8">
        <w:rPr>
          <w:rFonts w:ascii="Verdana" w:eastAsia="Times New Roman" w:hAnsi="Verdana" w:cs="Times New Roman"/>
          <w:sz w:val="20"/>
          <w:szCs w:val="24"/>
          <w:lang w:eastAsia="it-IT"/>
        </w:rPr>
        <w:t xml:space="preserve"> n.</w:t>
      </w:r>
      <w:r w:rsidR="003D2935">
        <w:rPr>
          <w:rFonts w:ascii="Verdana" w:eastAsia="Times New Roman" w:hAnsi="Verdana" w:cs="Times New Roman"/>
          <w:sz w:val="20"/>
          <w:szCs w:val="24"/>
          <w:lang w:eastAsia="it-IT"/>
        </w:rPr>
        <w:t xml:space="preserve"> </w:t>
      </w:r>
      <w:r w:rsidR="008F77E8">
        <w:rPr>
          <w:rFonts w:ascii="Verdana" w:eastAsia="Times New Roman" w:hAnsi="Verdana" w:cs="Times New Roman"/>
          <w:sz w:val="20"/>
          <w:szCs w:val="24"/>
          <w:lang w:eastAsia="it-IT"/>
        </w:rPr>
        <w:t>147/2013</w:t>
      </w:r>
      <w:r>
        <w:rPr>
          <w:rFonts w:ascii="Verdana" w:eastAsia="Times New Roman" w:hAnsi="Verdana" w:cs="Times New Roman"/>
          <w:sz w:val="20"/>
          <w:szCs w:val="24"/>
          <w:lang w:eastAsia="it-IT"/>
        </w:rPr>
        <w:t>;</w:t>
      </w:r>
      <w:r w:rsidR="00C30E96">
        <w:rPr>
          <w:rFonts w:ascii="Verdana" w:eastAsia="Times New Roman" w:hAnsi="Verdana" w:cs="Times New Roman"/>
          <w:sz w:val="20"/>
          <w:szCs w:val="24"/>
          <w:lang w:eastAsia="it-IT"/>
        </w:rPr>
        <w:t xml:space="preserve"> argomenti</w:t>
      </w:r>
      <w:r w:rsidR="00E95702">
        <w:rPr>
          <w:rFonts w:ascii="Verdana" w:eastAsia="Times New Roman" w:hAnsi="Verdana" w:cs="Times New Roman"/>
          <w:sz w:val="20"/>
          <w:szCs w:val="24"/>
          <w:lang w:eastAsia="it-IT"/>
        </w:rPr>
        <w:t>,</w:t>
      </w:r>
      <w:r w:rsidR="00C30E96">
        <w:rPr>
          <w:rFonts w:ascii="Verdana" w:eastAsia="Times New Roman" w:hAnsi="Verdana" w:cs="Times New Roman"/>
          <w:sz w:val="20"/>
          <w:szCs w:val="24"/>
          <w:lang w:eastAsia="it-IT"/>
        </w:rPr>
        <w:t xml:space="preserve"> entrambi</w:t>
      </w:r>
      <w:r w:rsidR="005C610F">
        <w:rPr>
          <w:rFonts w:ascii="Verdana" w:eastAsia="Times New Roman" w:hAnsi="Verdana" w:cs="Times New Roman"/>
          <w:sz w:val="20"/>
          <w:szCs w:val="24"/>
          <w:lang w:eastAsia="it-IT"/>
        </w:rPr>
        <w:t>,</w:t>
      </w:r>
      <w:r w:rsidR="00C30E96">
        <w:rPr>
          <w:rFonts w:ascii="Verdana" w:eastAsia="Times New Roman" w:hAnsi="Verdana" w:cs="Times New Roman"/>
          <w:sz w:val="20"/>
          <w:szCs w:val="24"/>
          <w:lang w:eastAsia="it-IT"/>
        </w:rPr>
        <w:t xml:space="preserve"> non riconducibili alla </w:t>
      </w:r>
      <w:r w:rsidR="00810633">
        <w:rPr>
          <w:rFonts w:ascii="Verdana" w:eastAsia="Times New Roman" w:hAnsi="Verdana" w:cs="Times New Roman"/>
          <w:sz w:val="20"/>
          <w:szCs w:val="24"/>
          <w:lang w:eastAsia="it-IT"/>
        </w:rPr>
        <w:t xml:space="preserve">nozione di </w:t>
      </w:r>
      <w:r w:rsidR="00C30E96">
        <w:rPr>
          <w:rFonts w:ascii="Verdana" w:eastAsia="Times New Roman" w:hAnsi="Verdana" w:cs="Times New Roman"/>
          <w:sz w:val="20"/>
          <w:szCs w:val="24"/>
          <w:lang w:eastAsia="it-IT"/>
        </w:rPr>
        <w:t>contabilità pubblica, come sopra definita</w:t>
      </w:r>
      <w:r w:rsidR="002A2A0E">
        <w:rPr>
          <w:rFonts w:ascii="Verdana" w:eastAsia="Times New Roman" w:hAnsi="Verdana" w:cs="Times New Roman"/>
          <w:sz w:val="20"/>
          <w:szCs w:val="24"/>
          <w:lang w:eastAsia="it-IT"/>
        </w:rPr>
        <w:t>.</w:t>
      </w:r>
      <w:r>
        <w:rPr>
          <w:rFonts w:ascii="Verdana" w:eastAsia="Times New Roman" w:hAnsi="Verdana" w:cs="Times New Roman"/>
          <w:sz w:val="20"/>
          <w:szCs w:val="24"/>
          <w:lang w:eastAsia="it-IT"/>
        </w:rPr>
        <w:t xml:space="preserve"> Né il comune richiedente prospetta elementi </w:t>
      </w:r>
      <w:r w:rsidR="009639C8">
        <w:rPr>
          <w:rFonts w:ascii="Verdana" w:eastAsia="Times New Roman" w:hAnsi="Verdana" w:cs="Times New Roman"/>
          <w:sz w:val="20"/>
          <w:szCs w:val="24"/>
          <w:lang w:eastAsia="it-IT"/>
        </w:rPr>
        <w:t xml:space="preserve">in base ai quali possa essere </w:t>
      </w:r>
      <w:r w:rsidR="004E554C">
        <w:rPr>
          <w:rFonts w:ascii="Verdana" w:eastAsia="Times New Roman" w:hAnsi="Verdana" w:cs="Times New Roman"/>
          <w:sz w:val="20"/>
          <w:szCs w:val="24"/>
          <w:lang w:eastAsia="it-IT"/>
        </w:rPr>
        <w:t xml:space="preserve">comunque </w:t>
      </w:r>
      <w:r w:rsidR="009639C8">
        <w:rPr>
          <w:rFonts w:ascii="Verdana" w:eastAsia="Times New Roman" w:hAnsi="Verdana" w:cs="Times New Roman"/>
          <w:sz w:val="20"/>
          <w:szCs w:val="24"/>
          <w:lang w:eastAsia="it-IT"/>
        </w:rPr>
        <w:t>apprezzata l’attinenza del quesito alla materia della contabilità pubblica.</w:t>
      </w:r>
    </w:p>
    <w:p w:rsidR="00E84D1F" w:rsidRDefault="00E84D1F" w:rsidP="005C610F">
      <w:pPr>
        <w:spacing w:before="240" w:after="240" w:line="360" w:lineRule="auto"/>
        <w:ind w:firstLine="567"/>
        <w:jc w:val="center"/>
        <w:rPr>
          <w:rFonts w:ascii="Verdana" w:eastAsia="Times New Roman" w:hAnsi="Verdana" w:cs="Times New Roman"/>
          <w:sz w:val="20"/>
          <w:szCs w:val="24"/>
          <w:lang w:eastAsia="it-IT"/>
        </w:rPr>
      </w:pPr>
      <w:r>
        <w:rPr>
          <w:rFonts w:ascii="Verdana" w:eastAsia="Times New Roman" w:hAnsi="Verdana" w:cs="Times New Roman"/>
          <w:sz w:val="20"/>
          <w:szCs w:val="24"/>
          <w:lang w:eastAsia="it-IT"/>
        </w:rPr>
        <w:t>***</w:t>
      </w:r>
    </w:p>
    <w:p w:rsidR="002B5E7B" w:rsidRPr="002B5E7B" w:rsidRDefault="002B5E7B" w:rsidP="00812B6E">
      <w:pPr>
        <w:spacing w:after="0" w:line="360" w:lineRule="auto"/>
        <w:ind w:right="98" w:firstLine="540"/>
        <w:jc w:val="both"/>
        <w:rPr>
          <w:rFonts w:ascii="Verdana" w:eastAsia="Times New Roman" w:hAnsi="Verdana" w:cs="Times New Roman"/>
          <w:sz w:val="20"/>
          <w:szCs w:val="20"/>
          <w:lang w:eastAsia="it-IT"/>
        </w:rPr>
      </w:pPr>
      <w:r w:rsidRPr="002B5E7B">
        <w:rPr>
          <w:rFonts w:ascii="Verdana" w:eastAsia="Times New Roman" w:hAnsi="Verdana" w:cs="Times New Roman"/>
          <w:sz w:val="20"/>
          <w:szCs w:val="20"/>
          <w:lang w:eastAsia="it-IT"/>
        </w:rPr>
        <w:t>Nelle sopra esposte considerazioni è il deliberato d’inammis</w:t>
      </w:r>
      <w:r w:rsidR="005C610F">
        <w:rPr>
          <w:rFonts w:ascii="Verdana" w:eastAsia="Times New Roman" w:hAnsi="Verdana" w:cs="Times New Roman"/>
          <w:sz w:val="20"/>
          <w:szCs w:val="20"/>
          <w:lang w:eastAsia="it-IT"/>
        </w:rPr>
        <w:t>sibilità della Corte dei conti-</w:t>
      </w:r>
      <w:r w:rsidRPr="002B5E7B">
        <w:rPr>
          <w:rFonts w:ascii="Verdana" w:eastAsia="Times New Roman" w:hAnsi="Verdana" w:cs="Times New Roman"/>
          <w:sz w:val="20"/>
          <w:szCs w:val="20"/>
          <w:lang w:eastAsia="it-IT"/>
        </w:rPr>
        <w:t>Sezione regiona</w:t>
      </w:r>
      <w:r w:rsidR="009639C8">
        <w:rPr>
          <w:rFonts w:ascii="Verdana" w:eastAsia="Times New Roman" w:hAnsi="Verdana" w:cs="Times New Roman"/>
          <w:sz w:val="20"/>
          <w:szCs w:val="20"/>
          <w:lang w:eastAsia="it-IT"/>
        </w:rPr>
        <w:t xml:space="preserve">le di </w:t>
      </w:r>
      <w:r w:rsidR="005C610F">
        <w:rPr>
          <w:rFonts w:ascii="Verdana" w:eastAsia="Times New Roman" w:hAnsi="Verdana" w:cs="Times New Roman"/>
          <w:sz w:val="20"/>
          <w:szCs w:val="20"/>
          <w:lang w:eastAsia="it-IT"/>
        </w:rPr>
        <w:t>controllo per la Toscana</w:t>
      </w:r>
      <w:r w:rsidR="009639C8">
        <w:rPr>
          <w:rFonts w:ascii="Verdana" w:eastAsia="Times New Roman" w:hAnsi="Verdana" w:cs="Times New Roman"/>
          <w:sz w:val="20"/>
          <w:szCs w:val="20"/>
          <w:lang w:eastAsia="it-IT"/>
        </w:rPr>
        <w:t>,</w:t>
      </w:r>
      <w:r w:rsidRPr="002B5E7B">
        <w:rPr>
          <w:rFonts w:ascii="Verdana" w:eastAsia="Times New Roman" w:hAnsi="Verdana" w:cs="Times New Roman"/>
          <w:sz w:val="20"/>
          <w:szCs w:val="20"/>
          <w:lang w:eastAsia="it-IT"/>
        </w:rPr>
        <w:t xml:space="preserve"> in relazione alla richiesta formulata dal Sindaco del Comune di </w:t>
      </w:r>
      <w:r w:rsidR="004F04A5">
        <w:rPr>
          <w:rFonts w:ascii="Verdana" w:eastAsia="Times New Roman" w:hAnsi="Verdana" w:cs="Times New Roman"/>
          <w:sz w:val="20"/>
          <w:szCs w:val="20"/>
          <w:lang w:eastAsia="it-IT"/>
        </w:rPr>
        <w:t xml:space="preserve"> Suvereto</w:t>
      </w:r>
      <w:r w:rsidRPr="002B5E7B">
        <w:rPr>
          <w:rFonts w:ascii="Verdana" w:eastAsia="Times New Roman" w:hAnsi="Verdana" w:cs="Times New Roman"/>
          <w:sz w:val="20"/>
          <w:szCs w:val="20"/>
          <w:lang w:eastAsia="it-IT"/>
        </w:rPr>
        <w:t>, trasmessa per il tramite del Consiglio delle aut</w:t>
      </w:r>
      <w:r w:rsidR="008B26EC">
        <w:rPr>
          <w:rFonts w:ascii="Verdana" w:eastAsia="Times New Roman" w:hAnsi="Verdana" w:cs="Times New Roman"/>
          <w:sz w:val="20"/>
          <w:szCs w:val="20"/>
          <w:lang w:eastAsia="it-IT"/>
        </w:rPr>
        <w:t>onomie con nota prot. n</w:t>
      </w:r>
      <w:r w:rsidR="004F04A5">
        <w:rPr>
          <w:rFonts w:ascii="Verdana" w:eastAsia="Times New Roman" w:hAnsi="Verdana" w:cs="Times New Roman"/>
          <w:sz w:val="20"/>
          <w:szCs w:val="20"/>
          <w:lang w:eastAsia="it-IT"/>
        </w:rPr>
        <w:t>.</w:t>
      </w:r>
      <w:r w:rsidR="008B26EC">
        <w:rPr>
          <w:rFonts w:ascii="Verdana" w:eastAsia="Times New Roman" w:hAnsi="Verdana" w:cs="Times New Roman"/>
          <w:sz w:val="20"/>
          <w:szCs w:val="20"/>
          <w:lang w:eastAsia="it-IT"/>
        </w:rPr>
        <w:t xml:space="preserve"> </w:t>
      </w:r>
      <w:r w:rsidR="004F04A5">
        <w:rPr>
          <w:rFonts w:ascii="Verdana" w:eastAsia="Times New Roman" w:hAnsi="Verdana" w:cs="Times New Roman"/>
          <w:sz w:val="20"/>
          <w:szCs w:val="20"/>
          <w:lang w:eastAsia="it-IT"/>
        </w:rPr>
        <w:t>14960</w:t>
      </w:r>
      <w:r w:rsidR="001E51E9">
        <w:rPr>
          <w:rFonts w:ascii="Verdana" w:eastAsia="Times New Roman" w:hAnsi="Verdana" w:cs="Times New Roman"/>
          <w:sz w:val="20"/>
          <w:szCs w:val="20"/>
          <w:lang w:eastAsia="it-IT"/>
        </w:rPr>
        <w:t>/</w:t>
      </w:r>
      <w:r w:rsidR="002A2A0E">
        <w:rPr>
          <w:rFonts w:ascii="Verdana" w:eastAsia="Times New Roman" w:hAnsi="Verdana" w:cs="Times New Roman"/>
          <w:sz w:val="20"/>
          <w:szCs w:val="20"/>
          <w:lang w:eastAsia="it-IT"/>
        </w:rPr>
        <w:t>1.13.9</w:t>
      </w:r>
      <w:r w:rsidRPr="002B5E7B">
        <w:rPr>
          <w:rFonts w:ascii="Verdana" w:eastAsia="Times New Roman" w:hAnsi="Verdana" w:cs="Times New Roman"/>
          <w:sz w:val="20"/>
          <w:szCs w:val="20"/>
          <w:lang w:eastAsia="it-IT"/>
        </w:rPr>
        <w:t xml:space="preserve"> del </w:t>
      </w:r>
      <w:r w:rsidR="008B26EC">
        <w:rPr>
          <w:rFonts w:ascii="Verdana" w:eastAsia="Times New Roman" w:hAnsi="Verdana" w:cs="Times New Roman"/>
          <w:sz w:val="20"/>
          <w:szCs w:val="20"/>
          <w:lang w:eastAsia="it-IT"/>
        </w:rPr>
        <w:t>25 agosto</w:t>
      </w:r>
      <w:r>
        <w:rPr>
          <w:rFonts w:ascii="Verdana" w:eastAsia="Times New Roman" w:hAnsi="Verdana" w:cs="Times New Roman"/>
          <w:sz w:val="20"/>
          <w:szCs w:val="20"/>
          <w:lang w:eastAsia="it-IT"/>
        </w:rPr>
        <w:t xml:space="preserve"> 2014</w:t>
      </w:r>
      <w:r w:rsidR="00757147">
        <w:rPr>
          <w:rFonts w:ascii="Verdana" w:eastAsia="Times New Roman" w:hAnsi="Verdana" w:cs="Times New Roman"/>
          <w:sz w:val="20"/>
          <w:szCs w:val="20"/>
          <w:lang w:eastAsia="it-IT"/>
        </w:rPr>
        <w:t>, pervenuta in data</w:t>
      </w:r>
      <w:r w:rsidR="001E51E9">
        <w:rPr>
          <w:rFonts w:ascii="Verdana" w:eastAsia="Times New Roman" w:hAnsi="Verdana" w:cs="Times New Roman"/>
          <w:sz w:val="20"/>
          <w:szCs w:val="20"/>
          <w:lang w:eastAsia="it-IT"/>
        </w:rPr>
        <w:t xml:space="preserve"> 4 settembre 2014</w:t>
      </w:r>
      <w:r w:rsidRPr="002B5E7B">
        <w:rPr>
          <w:rFonts w:ascii="Verdana" w:eastAsia="Times New Roman" w:hAnsi="Verdana" w:cs="Times New Roman"/>
          <w:sz w:val="20"/>
          <w:szCs w:val="20"/>
          <w:lang w:eastAsia="it-IT"/>
        </w:rPr>
        <w:t>.</w:t>
      </w:r>
    </w:p>
    <w:p w:rsidR="005C610F" w:rsidRDefault="005C610F">
      <w:pPr>
        <w:rPr>
          <w:rFonts w:ascii="Verdana" w:eastAsia="Times New Roman" w:hAnsi="Verdana" w:cs="Times New Roman"/>
          <w:sz w:val="20"/>
          <w:szCs w:val="20"/>
          <w:lang w:eastAsia="it-IT"/>
        </w:rPr>
      </w:pPr>
      <w:r>
        <w:rPr>
          <w:rFonts w:ascii="Verdana" w:eastAsia="Times New Roman" w:hAnsi="Verdana" w:cs="Times New Roman"/>
          <w:sz w:val="20"/>
          <w:szCs w:val="20"/>
          <w:lang w:eastAsia="it-IT"/>
        </w:rPr>
        <w:br w:type="page"/>
      </w:r>
    </w:p>
    <w:p w:rsidR="002B5E7B" w:rsidRDefault="002B5E7B" w:rsidP="00812B6E">
      <w:pPr>
        <w:spacing w:after="0" w:line="360" w:lineRule="auto"/>
        <w:ind w:right="98" w:firstLine="540"/>
        <w:jc w:val="both"/>
        <w:rPr>
          <w:rFonts w:ascii="Verdana" w:eastAsia="Times New Roman" w:hAnsi="Verdana" w:cs="Times New Roman"/>
          <w:sz w:val="20"/>
          <w:szCs w:val="20"/>
          <w:lang w:eastAsia="it-IT"/>
        </w:rPr>
      </w:pPr>
      <w:r w:rsidRPr="002B5E7B">
        <w:rPr>
          <w:rFonts w:ascii="Verdana" w:eastAsia="Times New Roman" w:hAnsi="Verdana" w:cs="Times New Roman"/>
          <w:sz w:val="20"/>
          <w:szCs w:val="20"/>
          <w:lang w:eastAsia="it-IT"/>
        </w:rPr>
        <w:lastRenderedPageBreak/>
        <w:t xml:space="preserve">Copia della presente deliberazione è trasmessa al Presidente del Consiglio delle autonomie locali della Regione Toscana, e, per conoscenza, al Sindaco e al Presidente del Consiglio comunale di </w:t>
      </w:r>
      <w:r w:rsidR="002A2A0E">
        <w:rPr>
          <w:rFonts w:ascii="Verdana" w:eastAsia="Times New Roman" w:hAnsi="Verdana" w:cs="Times New Roman"/>
          <w:sz w:val="20"/>
          <w:szCs w:val="20"/>
          <w:lang w:eastAsia="it-IT"/>
        </w:rPr>
        <w:t>Suvereto</w:t>
      </w:r>
      <w:r w:rsidRPr="002B5E7B">
        <w:rPr>
          <w:rFonts w:ascii="Verdana" w:eastAsia="Times New Roman" w:hAnsi="Verdana" w:cs="Times New Roman"/>
          <w:sz w:val="20"/>
          <w:szCs w:val="20"/>
          <w:lang w:eastAsia="it-IT"/>
        </w:rPr>
        <w:t>.</w:t>
      </w:r>
    </w:p>
    <w:p w:rsidR="005C610F" w:rsidRDefault="005C610F" w:rsidP="00812B6E">
      <w:pPr>
        <w:spacing w:after="0" w:line="360" w:lineRule="auto"/>
        <w:ind w:right="98" w:firstLine="540"/>
        <w:jc w:val="both"/>
        <w:rPr>
          <w:rFonts w:ascii="Verdana" w:eastAsia="Times New Roman" w:hAnsi="Verdana" w:cs="Times New Roman"/>
          <w:sz w:val="20"/>
          <w:szCs w:val="20"/>
          <w:lang w:eastAsia="it-IT"/>
        </w:rPr>
      </w:pPr>
    </w:p>
    <w:p w:rsidR="005C610F" w:rsidRDefault="005C610F" w:rsidP="00812B6E">
      <w:pPr>
        <w:spacing w:after="0" w:line="360" w:lineRule="auto"/>
        <w:ind w:right="98" w:firstLine="540"/>
        <w:jc w:val="both"/>
        <w:rPr>
          <w:rFonts w:ascii="Verdana" w:eastAsia="Times New Roman" w:hAnsi="Verdana" w:cs="Times New Roman"/>
          <w:sz w:val="20"/>
          <w:szCs w:val="20"/>
          <w:lang w:eastAsia="it-IT"/>
        </w:rPr>
      </w:pPr>
    </w:p>
    <w:p w:rsidR="00FE60C8" w:rsidRDefault="00FE60C8" w:rsidP="002B5E7B">
      <w:pPr>
        <w:spacing w:after="0" w:line="360" w:lineRule="auto"/>
        <w:ind w:left="180" w:right="98" w:firstLine="540"/>
        <w:jc w:val="both"/>
        <w:rPr>
          <w:rFonts w:ascii="Verdana" w:eastAsia="Times New Roman" w:hAnsi="Verdana" w:cs="Times New Roman"/>
          <w:sz w:val="20"/>
          <w:szCs w:val="20"/>
          <w:lang w:eastAsia="it-IT"/>
        </w:rPr>
      </w:pPr>
      <w:r w:rsidRPr="00FE60C8">
        <w:rPr>
          <w:rFonts w:ascii="Verdana" w:eastAsia="Times New Roman" w:hAnsi="Verdana" w:cs="Times New Roman"/>
          <w:sz w:val="20"/>
          <w:szCs w:val="20"/>
          <w:lang w:eastAsia="it-IT"/>
        </w:rPr>
        <w:t xml:space="preserve">Firenze, </w:t>
      </w:r>
      <w:r w:rsidR="007C3CB0">
        <w:rPr>
          <w:rFonts w:ascii="Verdana" w:eastAsia="Times New Roman" w:hAnsi="Verdana" w:cs="Times New Roman"/>
          <w:sz w:val="20"/>
          <w:szCs w:val="20"/>
          <w:lang w:eastAsia="it-IT"/>
        </w:rPr>
        <w:t xml:space="preserve">14 ottobre </w:t>
      </w:r>
      <w:r w:rsidRPr="00FE60C8">
        <w:rPr>
          <w:rFonts w:ascii="Verdana" w:eastAsia="Times New Roman" w:hAnsi="Verdana" w:cs="Times New Roman"/>
          <w:sz w:val="20"/>
          <w:szCs w:val="20"/>
          <w:lang w:eastAsia="it-IT"/>
        </w:rPr>
        <w:t>2014.</w:t>
      </w:r>
    </w:p>
    <w:p w:rsidR="005C610F" w:rsidRPr="00FE60C8" w:rsidRDefault="005C610F" w:rsidP="002B5E7B">
      <w:pPr>
        <w:spacing w:after="0" w:line="360" w:lineRule="auto"/>
        <w:ind w:left="180" w:right="98" w:firstLine="540"/>
        <w:jc w:val="both"/>
        <w:rPr>
          <w:rFonts w:ascii="Verdana" w:eastAsia="Times New Roman" w:hAnsi="Verdana" w:cs="Times New Roman"/>
          <w:sz w:val="20"/>
          <w:szCs w:val="20"/>
          <w:lang w:eastAsia="it-IT"/>
        </w:rPr>
      </w:pPr>
    </w:p>
    <w:p w:rsidR="00FE60C8" w:rsidRPr="00FE60C8" w:rsidRDefault="00E84D1F" w:rsidP="00E84D1F">
      <w:pPr>
        <w:spacing w:after="0" w:line="240" w:lineRule="auto"/>
        <w:ind w:firstLine="993"/>
        <w:rPr>
          <w:rFonts w:ascii="Verdana" w:eastAsia="Times New Roman" w:hAnsi="Verdana" w:cs="Times New Roman"/>
          <w:sz w:val="20"/>
          <w:szCs w:val="20"/>
          <w:lang w:eastAsia="it-IT"/>
        </w:rPr>
      </w:pPr>
      <w:r>
        <w:rPr>
          <w:rFonts w:ascii="Verdana" w:eastAsia="Times New Roman" w:hAnsi="Verdana" w:cs="Times New Roman"/>
          <w:sz w:val="20"/>
          <w:szCs w:val="20"/>
          <w:lang w:eastAsia="it-IT"/>
        </w:rPr>
        <w:t>Il relatore</w:t>
      </w:r>
      <w:r>
        <w:rPr>
          <w:rFonts w:ascii="Verdana" w:eastAsia="Times New Roman" w:hAnsi="Verdana" w:cs="Times New Roman"/>
          <w:sz w:val="20"/>
          <w:szCs w:val="20"/>
          <w:lang w:eastAsia="it-IT"/>
        </w:rPr>
        <w:tab/>
      </w:r>
      <w:r>
        <w:rPr>
          <w:rFonts w:ascii="Verdana" w:eastAsia="Times New Roman" w:hAnsi="Verdana" w:cs="Times New Roman"/>
          <w:sz w:val="20"/>
          <w:szCs w:val="20"/>
          <w:lang w:eastAsia="it-IT"/>
        </w:rPr>
        <w:tab/>
      </w:r>
      <w:r>
        <w:rPr>
          <w:rFonts w:ascii="Verdana" w:eastAsia="Times New Roman" w:hAnsi="Verdana" w:cs="Times New Roman"/>
          <w:sz w:val="20"/>
          <w:szCs w:val="20"/>
          <w:lang w:eastAsia="it-IT"/>
        </w:rPr>
        <w:tab/>
      </w:r>
      <w:r>
        <w:rPr>
          <w:rFonts w:ascii="Verdana" w:eastAsia="Times New Roman" w:hAnsi="Verdana" w:cs="Times New Roman"/>
          <w:sz w:val="20"/>
          <w:szCs w:val="20"/>
          <w:lang w:eastAsia="it-IT"/>
        </w:rPr>
        <w:tab/>
      </w:r>
      <w:r>
        <w:rPr>
          <w:rFonts w:ascii="Verdana" w:eastAsia="Times New Roman" w:hAnsi="Verdana" w:cs="Times New Roman"/>
          <w:sz w:val="20"/>
          <w:szCs w:val="20"/>
          <w:lang w:eastAsia="it-IT"/>
        </w:rPr>
        <w:tab/>
      </w:r>
      <w:r>
        <w:rPr>
          <w:rFonts w:ascii="Verdana" w:eastAsia="Times New Roman" w:hAnsi="Verdana" w:cs="Times New Roman"/>
          <w:sz w:val="20"/>
          <w:szCs w:val="20"/>
          <w:lang w:eastAsia="it-IT"/>
        </w:rPr>
        <w:tab/>
      </w:r>
      <w:r>
        <w:rPr>
          <w:rFonts w:ascii="Verdana" w:eastAsia="Times New Roman" w:hAnsi="Verdana" w:cs="Times New Roman"/>
          <w:sz w:val="20"/>
          <w:szCs w:val="20"/>
          <w:lang w:eastAsia="it-IT"/>
        </w:rPr>
        <w:tab/>
      </w:r>
      <w:r w:rsidR="00FE60C8" w:rsidRPr="00FE60C8">
        <w:rPr>
          <w:rFonts w:ascii="Verdana" w:eastAsia="Times New Roman" w:hAnsi="Verdana" w:cs="Times New Roman"/>
          <w:sz w:val="20"/>
          <w:szCs w:val="20"/>
          <w:lang w:eastAsia="it-IT"/>
        </w:rPr>
        <w:t>Il presidente</w:t>
      </w:r>
    </w:p>
    <w:p w:rsidR="00FE60C8" w:rsidRPr="00FE60C8" w:rsidRDefault="00D42ABB" w:rsidP="00E84D1F">
      <w:pPr>
        <w:spacing w:after="0" w:line="240" w:lineRule="auto"/>
        <w:jc w:val="center"/>
        <w:rPr>
          <w:rFonts w:ascii="Verdana" w:eastAsia="Times New Roman" w:hAnsi="Verdana" w:cs="Times New Roman"/>
          <w:sz w:val="20"/>
          <w:szCs w:val="20"/>
          <w:lang w:eastAsia="it-IT"/>
        </w:rPr>
      </w:pPr>
      <w:r>
        <w:rPr>
          <w:rFonts w:ascii="Verdana" w:eastAsia="Times New Roman" w:hAnsi="Verdana" w:cs="Times New Roman"/>
          <w:sz w:val="20"/>
          <w:szCs w:val="20"/>
          <w:lang w:eastAsia="it-IT"/>
        </w:rPr>
        <w:t xml:space="preserve">f.to </w:t>
      </w:r>
      <w:r w:rsidR="00BD1B4B">
        <w:rPr>
          <w:rFonts w:ascii="Verdana" w:eastAsia="Times New Roman" w:hAnsi="Verdana" w:cs="Times New Roman"/>
          <w:sz w:val="20"/>
          <w:szCs w:val="20"/>
          <w:lang w:eastAsia="it-IT"/>
        </w:rPr>
        <w:t>Emilia T</w:t>
      </w:r>
      <w:r w:rsidR="00821EDB">
        <w:rPr>
          <w:rFonts w:ascii="Verdana" w:eastAsia="Times New Roman" w:hAnsi="Verdana" w:cs="Times New Roman"/>
          <w:sz w:val="20"/>
          <w:szCs w:val="20"/>
          <w:lang w:eastAsia="it-IT"/>
        </w:rPr>
        <w:t>risciuoglio</w:t>
      </w:r>
      <w:r w:rsidR="002B5E7B">
        <w:rPr>
          <w:rFonts w:ascii="Verdana" w:eastAsia="Times New Roman" w:hAnsi="Verdana" w:cs="Times New Roman"/>
          <w:sz w:val="20"/>
          <w:szCs w:val="20"/>
          <w:lang w:eastAsia="it-IT"/>
        </w:rPr>
        <w:tab/>
      </w:r>
      <w:r w:rsidR="00E84D1F">
        <w:rPr>
          <w:rFonts w:ascii="Verdana" w:eastAsia="Times New Roman" w:hAnsi="Verdana" w:cs="Times New Roman"/>
          <w:sz w:val="20"/>
          <w:szCs w:val="20"/>
          <w:lang w:eastAsia="it-IT"/>
        </w:rPr>
        <w:tab/>
      </w:r>
      <w:r w:rsidR="00E84D1F">
        <w:rPr>
          <w:rFonts w:ascii="Verdana" w:eastAsia="Times New Roman" w:hAnsi="Verdana" w:cs="Times New Roman"/>
          <w:sz w:val="20"/>
          <w:szCs w:val="20"/>
          <w:lang w:eastAsia="it-IT"/>
        </w:rPr>
        <w:tab/>
      </w:r>
      <w:r w:rsidR="00E84D1F">
        <w:rPr>
          <w:rFonts w:ascii="Verdana" w:eastAsia="Times New Roman" w:hAnsi="Verdana" w:cs="Times New Roman"/>
          <w:sz w:val="20"/>
          <w:szCs w:val="20"/>
          <w:lang w:eastAsia="it-IT"/>
        </w:rPr>
        <w:tab/>
      </w:r>
      <w:r w:rsidR="00E84D1F">
        <w:rPr>
          <w:rFonts w:ascii="Verdana" w:eastAsia="Times New Roman" w:hAnsi="Verdana" w:cs="Times New Roman"/>
          <w:sz w:val="20"/>
          <w:szCs w:val="20"/>
          <w:lang w:eastAsia="it-IT"/>
        </w:rPr>
        <w:tab/>
      </w:r>
      <w:r w:rsidR="00E84D1F">
        <w:rPr>
          <w:rFonts w:ascii="Verdana" w:eastAsia="Times New Roman" w:hAnsi="Verdana" w:cs="Times New Roman"/>
          <w:sz w:val="20"/>
          <w:szCs w:val="20"/>
          <w:lang w:eastAsia="it-IT"/>
        </w:rPr>
        <w:tab/>
      </w:r>
      <w:r>
        <w:rPr>
          <w:rFonts w:ascii="Verdana" w:eastAsia="Times New Roman" w:hAnsi="Verdana" w:cs="Times New Roman"/>
          <w:sz w:val="20"/>
          <w:szCs w:val="20"/>
          <w:lang w:eastAsia="it-IT"/>
        </w:rPr>
        <w:t xml:space="preserve">f.to </w:t>
      </w:r>
      <w:r w:rsidR="00BD1B4B">
        <w:rPr>
          <w:rFonts w:ascii="Verdana" w:eastAsia="Times New Roman" w:hAnsi="Verdana" w:cs="Times New Roman"/>
          <w:sz w:val="20"/>
          <w:szCs w:val="20"/>
          <w:lang w:eastAsia="it-IT"/>
        </w:rPr>
        <w:t>Gaetano D’Auria</w:t>
      </w:r>
    </w:p>
    <w:p w:rsidR="00FE60C8" w:rsidRDefault="00FE60C8" w:rsidP="00E84D1F">
      <w:pPr>
        <w:spacing w:after="0" w:line="360" w:lineRule="auto"/>
        <w:ind w:firstLine="709"/>
        <w:jc w:val="center"/>
        <w:rPr>
          <w:rFonts w:ascii="Verdana" w:eastAsia="Times New Roman" w:hAnsi="Verdana" w:cs="Times New Roman"/>
          <w:sz w:val="20"/>
          <w:szCs w:val="20"/>
          <w:lang w:eastAsia="it-IT"/>
        </w:rPr>
      </w:pPr>
    </w:p>
    <w:p w:rsidR="005C610F" w:rsidRPr="00FE60C8" w:rsidRDefault="005C610F" w:rsidP="00E84D1F">
      <w:pPr>
        <w:spacing w:after="0" w:line="360" w:lineRule="auto"/>
        <w:ind w:firstLine="709"/>
        <w:jc w:val="center"/>
        <w:rPr>
          <w:rFonts w:ascii="Verdana" w:eastAsia="Times New Roman" w:hAnsi="Verdana" w:cs="Times New Roman"/>
          <w:sz w:val="20"/>
          <w:szCs w:val="20"/>
          <w:lang w:eastAsia="it-IT"/>
        </w:rPr>
      </w:pPr>
    </w:p>
    <w:p w:rsidR="00FE60C8" w:rsidRPr="00FE60C8" w:rsidRDefault="00FE60C8" w:rsidP="00FE60C8">
      <w:pPr>
        <w:spacing w:after="0" w:line="360" w:lineRule="auto"/>
        <w:jc w:val="both"/>
        <w:rPr>
          <w:rFonts w:ascii="Verdana" w:eastAsia="Times New Roman" w:hAnsi="Verdana" w:cs="Times New Roman"/>
          <w:sz w:val="20"/>
          <w:szCs w:val="20"/>
          <w:lang w:eastAsia="it-IT"/>
        </w:rPr>
      </w:pPr>
      <w:r w:rsidRPr="00FE60C8">
        <w:rPr>
          <w:rFonts w:ascii="Verdana" w:eastAsia="Times New Roman" w:hAnsi="Verdana" w:cs="Times New Roman"/>
          <w:sz w:val="20"/>
          <w:szCs w:val="20"/>
          <w:lang w:eastAsia="it-IT"/>
        </w:rPr>
        <w:t xml:space="preserve">Depositata in Segreteria il </w:t>
      </w:r>
      <w:r w:rsidR="007C3CB0">
        <w:rPr>
          <w:rFonts w:ascii="Verdana" w:eastAsia="Times New Roman" w:hAnsi="Verdana" w:cs="Times New Roman"/>
          <w:sz w:val="20"/>
          <w:szCs w:val="20"/>
          <w:lang w:eastAsia="it-IT"/>
        </w:rPr>
        <w:t>14 ottobre</w:t>
      </w:r>
      <w:r w:rsidRPr="00FE60C8">
        <w:rPr>
          <w:rFonts w:ascii="Verdana" w:eastAsia="Times New Roman" w:hAnsi="Verdana" w:cs="Times New Roman"/>
          <w:sz w:val="20"/>
          <w:szCs w:val="20"/>
          <w:lang w:eastAsia="it-IT"/>
        </w:rPr>
        <w:t xml:space="preserve"> 2014</w:t>
      </w:r>
    </w:p>
    <w:p w:rsidR="00FE60C8" w:rsidRPr="00FE60C8" w:rsidRDefault="00FE60C8" w:rsidP="00FE60C8">
      <w:pPr>
        <w:spacing w:after="0" w:line="360" w:lineRule="auto"/>
        <w:jc w:val="both"/>
        <w:rPr>
          <w:rFonts w:ascii="Verdana" w:eastAsia="Times New Roman" w:hAnsi="Verdana" w:cs="Times New Roman"/>
          <w:sz w:val="20"/>
          <w:szCs w:val="20"/>
          <w:lang w:eastAsia="it-IT"/>
        </w:rPr>
      </w:pPr>
      <w:r w:rsidRPr="00FE60C8">
        <w:rPr>
          <w:rFonts w:ascii="Verdana" w:eastAsia="Times New Roman" w:hAnsi="Verdana" w:cs="Times New Roman"/>
          <w:sz w:val="20"/>
          <w:szCs w:val="20"/>
          <w:lang w:eastAsia="it-IT"/>
        </w:rPr>
        <w:t>Il funzionario preposto al Servizio di supporto</w:t>
      </w:r>
    </w:p>
    <w:p w:rsidR="0021555E" w:rsidRPr="00812B6E" w:rsidRDefault="00FE60C8" w:rsidP="00812B6E">
      <w:pPr>
        <w:spacing w:after="0" w:line="360" w:lineRule="auto"/>
        <w:ind w:firstLine="709"/>
        <w:jc w:val="both"/>
        <w:rPr>
          <w:rFonts w:ascii="Verdana" w:eastAsia="Times New Roman" w:hAnsi="Verdana" w:cs="Times New Roman"/>
          <w:sz w:val="20"/>
          <w:szCs w:val="20"/>
          <w:lang w:eastAsia="it-IT"/>
        </w:rPr>
      </w:pPr>
      <w:r w:rsidRPr="00FE60C8">
        <w:rPr>
          <w:rFonts w:ascii="Verdana" w:eastAsia="Times New Roman" w:hAnsi="Verdana" w:cs="Times New Roman"/>
          <w:sz w:val="20"/>
          <w:szCs w:val="20"/>
          <w:lang w:eastAsia="it-IT"/>
        </w:rPr>
        <w:t xml:space="preserve">     </w:t>
      </w:r>
      <w:r w:rsidR="00D42ABB">
        <w:rPr>
          <w:rFonts w:ascii="Verdana" w:eastAsia="Times New Roman" w:hAnsi="Verdana" w:cs="Times New Roman"/>
          <w:sz w:val="20"/>
          <w:szCs w:val="20"/>
          <w:lang w:eastAsia="it-IT"/>
        </w:rPr>
        <w:t>f.to</w:t>
      </w:r>
      <w:bookmarkStart w:id="0" w:name="_GoBack"/>
      <w:bookmarkEnd w:id="0"/>
      <w:r w:rsidRPr="00FE60C8">
        <w:rPr>
          <w:rFonts w:ascii="Verdana" w:eastAsia="Times New Roman" w:hAnsi="Verdana" w:cs="Times New Roman"/>
          <w:sz w:val="20"/>
          <w:szCs w:val="20"/>
          <w:lang w:eastAsia="it-IT"/>
        </w:rPr>
        <w:t xml:space="preserve"> Claudio Felli</w:t>
      </w:r>
    </w:p>
    <w:sectPr w:rsidR="0021555E" w:rsidRPr="00812B6E" w:rsidSect="00621BFB">
      <w:footerReference w:type="default" r:id="rId10"/>
      <w:pgSz w:w="11906" w:h="16838"/>
      <w:pgMar w:top="1701" w:right="1701" w:bottom="1701"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02B2" w:rsidRDefault="00C402B2">
      <w:pPr>
        <w:spacing w:after="0" w:line="240" w:lineRule="auto"/>
      </w:pPr>
      <w:r>
        <w:separator/>
      </w:r>
    </w:p>
  </w:endnote>
  <w:endnote w:type="continuationSeparator" w:id="0">
    <w:p w:rsidR="00C402B2" w:rsidRDefault="00C402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Times">
    <w:panose1 w:val="020206030504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34C6" w:rsidRPr="00CE33C6" w:rsidRDefault="002B5E7B">
    <w:pPr>
      <w:pStyle w:val="Pidipagina"/>
      <w:jc w:val="center"/>
      <w:rPr>
        <w:rFonts w:ascii="Verdana" w:hAnsi="Verdana"/>
        <w:sz w:val="20"/>
        <w:szCs w:val="20"/>
      </w:rPr>
    </w:pPr>
    <w:r w:rsidRPr="00CE33C6">
      <w:rPr>
        <w:rFonts w:ascii="Verdana" w:hAnsi="Verdana"/>
        <w:sz w:val="20"/>
        <w:szCs w:val="20"/>
      </w:rPr>
      <w:fldChar w:fldCharType="begin"/>
    </w:r>
    <w:r w:rsidRPr="00CE33C6">
      <w:rPr>
        <w:rFonts w:ascii="Verdana" w:hAnsi="Verdana"/>
        <w:sz w:val="20"/>
        <w:szCs w:val="20"/>
      </w:rPr>
      <w:instrText>PAGE   \* MERGEFORMAT</w:instrText>
    </w:r>
    <w:r w:rsidRPr="00CE33C6">
      <w:rPr>
        <w:rFonts w:ascii="Verdana" w:hAnsi="Verdana"/>
        <w:sz w:val="20"/>
        <w:szCs w:val="20"/>
      </w:rPr>
      <w:fldChar w:fldCharType="separate"/>
    </w:r>
    <w:r w:rsidR="00D42ABB">
      <w:rPr>
        <w:rFonts w:ascii="Verdana" w:hAnsi="Verdana"/>
        <w:noProof/>
        <w:sz w:val="20"/>
        <w:szCs w:val="20"/>
      </w:rPr>
      <w:t>4</w:t>
    </w:r>
    <w:r w:rsidRPr="00CE33C6">
      <w:rPr>
        <w:rFonts w:ascii="Verdana" w:hAnsi="Verdana"/>
        <w:sz w:val="20"/>
        <w:szCs w:val="20"/>
      </w:rPr>
      <w:fldChar w:fldCharType="end"/>
    </w:r>
  </w:p>
  <w:p w:rsidR="00FC34C6" w:rsidRDefault="00D42ABB">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02B2" w:rsidRDefault="00C402B2">
      <w:pPr>
        <w:spacing w:after="0" w:line="240" w:lineRule="auto"/>
      </w:pPr>
      <w:r>
        <w:separator/>
      </w:r>
    </w:p>
  </w:footnote>
  <w:footnote w:type="continuationSeparator" w:id="0">
    <w:p w:rsidR="00C402B2" w:rsidRDefault="00C402B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C65D80"/>
    <w:multiLevelType w:val="hybridMultilevel"/>
    <w:tmpl w:val="36C0C2E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2B2A3412"/>
    <w:multiLevelType w:val="hybridMultilevel"/>
    <w:tmpl w:val="6388C0CE"/>
    <w:lvl w:ilvl="0" w:tplc="D55479EA">
      <w:start w:val="1"/>
      <w:numFmt w:val="decimal"/>
      <w:lvlText w:val="%1."/>
      <w:lvlJc w:val="left"/>
      <w:pPr>
        <w:ind w:left="1069" w:hanging="360"/>
      </w:pPr>
      <w:rPr>
        <w:rFonts w:hint="default"/>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7225"/>
    <w:rsid w:val="00002B9F"/>
    <w:rsid w:val="00004152"/>
    <w:rsid w:val="000055DA"/>
    <w:rsid w:val="00021F48"/>
    <w:rsid w:val="00025B16"/>
    <w:rsid w:val="00034474"/>
    <w:rsid w:val="000647A8"/>
    <w:rsid w:val="00083B73"/>
    <w:rsid w:val="0009553E"/>
    <w:rsid w:val="000D7886"/>
    <w:rsid w:val="00124A5B"/>
    <w:rsid w:val="00137225"/>
    <w:rsid w:val="00152AAE"/>
    <w:rsid w:val="0017102F"/>
    <w:rsid w:val="001C6CB9"/>
    <w:rsid w:val="001D4681"/>
    <w:rsid w:val="001E51E9"/>
    <w:rsid w:val="001F25DB"/>
    <w:rsid w:val="0021555E"/>
    <w:rsid w:val="002311F0"/>
    <w:rsid w:val="002631C8"/>
    <w:rsid w:val="002A2A0E"/>
    <w:rsid w:val="002B5E7B"/>
    <w:rsid w:val="003A69B7"/>
    <w:rsid w:val="003D2935"/>
    <w:rsid w:val="00457820"/>
    <w:rsid w:val="004E554C"/>
    <w:rsid w:val="004F04A5"/>
    <w:rsid w:val="00502C7D"/>
    <w:rsid w:val="0059648D"/>
    <w:rsid w:val="005C610F"/>
    <w:rsid w:val="0063128D"/>
    <w:rsid w:val="006D481C"/>
    <w:rsid w:val="006F3823"/>
    <w:rsid w:val="00700F68"/>
    <w:rsid w:val="00712660"/>
    <w:rsid w:val="007173A4"/>
    <w:rsid w:val="00757147"/>
    <w:rsid w:val="00795F32"/>
    <w:rsid w:val="007A47E9"/>
    <w:rsid w:val="007C3CB0"/>
    <w:rsid w:val="007D6C9A"/>
    <w:rsid w:val="007E1C8B"/>
    <w:rsid w:val="007F701C"/>
    <w:rsid w:val="00810633"/>
    <w:rsid w:val="00812B6E"/>
    <w:rsid w:val="00821EDB"/>
    <w:rsid w:val="00856B48"/>
    <w:rsid w:val="008B26EC"/>
    <w:rsid w:val="008C0D1B"/>
    <w:rsid w:val="008E2458"/>
    <w:rsid w:val="008F77E8"/>
    <w:rsid w:val="008F7F4A"/>
    <w:rsid w:val="009639C8"/>
    <w:rsid w:val="00994109"/>
    <w:rsid w:val="009D39F3"/>
    <w:rsid w:val="009F2121"/>
    <w:rsid w:val="00A04F92"/>
    <w:rsid w:val="00A31556"/>
    <w:rsid w:val="00A4596C"/>
    <w:rsid w:val="00A8786F"/>
    <w:rsid w:val="00B13A42"/>
    <w:rsid w:val="00B65F19"/>
    <w:rsid w:val="00B92CF0"/>
    <w:rsid w:val="00BD1B4B"/>
    <w:rsid w:val="00C04E9D"/>
    <w:rsid w:val="00C30E96"/>
    <w:rsid w:val="00C402B2"/>
    <w:rsid w:val="00C538DC"/>
    <w:rsid w:val="00C66966"/>
    <w:rsid w:val="00C8513D"/>
    <w:rsid w:val="00CB77C0"/>
    <w:rsid w:val="00CE33C6"/>
    <w:rsid w:val="00D01C2D"/>
    <w:rsid w:val="00D17030"/>
    <w:rsid w:val="00D42ABB"/>
    <w:rsid w:val="00D66E13"/>
    <w:rsid w:val="00DA2C49"/>
    <w:rsid w:val="00DE0048"/>
    <w:rsid w:val="00E1343F"/>
    <w:rsid w:val="00E14656"/>
    <w:rsid w:val="00E22055"/>
    <w:rsid w:val="00E34409"/>
    <w:rsid w:val="00E81520"/>
    <w:rsid w:val="00E84D1F"/>
    <w:rsid w:val="00E95702"/>
    <w:rsid w:val="00EA3E4E"/>
    <w:rsid w:val="00EF6F59"/>
    <w:rsid w:val="00F31A94"/>
    <w:rsid w:val="00F51678"/>
    <w:rsid w:val="00FE40A1"/>
    <w:rsid w:val="00FE60C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Didascalia">
    <w:name w:val="caption"/>
    <w:basedOn w:val="Normale"/>
    <w:next w:val="Normale"/>
    <w:uiPriority w:val="35"/>
    <w:unhideWhenUsed/>
    <w:qFormat/>
    <w:rsid w:val="00A4596C"/>
    <w:pPr>
      <w:keepNext/>
      <w:spacing w:after="120" w:line="240" w:lineRule="auto"/>
      <w:jc w:val="both"/>
    </w:pPr>
    <w:rPr>
      <w:rFonts w:ascii="Verdana" w:eastAsia="Times" w:hAnsi="Verdana" w:cs="Times New Roman"/>
      <w:bCs/>
      <w:sz w:val="16"/>
      <w:szCs w:val="18"/>
      <w:lang w:eastAsia="it-IT"/>
    </w:rPr>
  </w:style>
  <w:style w:type="paragraph" w:styleId="Pidipagina">
    <w:name w:val="footer"/>
    <w:basedOn w:val="Normale"/>
    <w:link w:val="PidipaginaCarattere"/>
    <w:uiPriority w:val="99"/>
    <w:rsid w:val="00FE60C8"/>
    <w:pPr>
      <w:tabs>
        <w:tab w:val="center" w:pos="4819"/>
        <w:tab w:val="right" w:pos="9638"/>
      </w:tabs>
      <w:spacing w:after="0" w:line="240" w:lineRule="auto"/>
    </w:pPr>
    <w:rPr>
      <w:rFonts w:ascii="Times New Roman" w:eastAsia="Times New Roman" w:hAnsi="Times New Roman" w:cs="Times New Roman"/>
      <w:sz w:val="24"/>
      <w:szCs w:val="24"/>
      <w:lang w:eastAsia="it-IT"/>
    </w:rPr>
  </w:style>
  <w:style w:type="character" w:customStyle="1" w:styleId="PidipaginaCarattere">
    <w:name w:val="Piè di pagina Carattere"/>
    <w:basedOn w:val="Carpredefinitoparagrafo"/>
    <w:link w:val="Pidipagina"/>
    <w:uiPriority w:val="99"/>
    <w:rsid w:val="00FE60C8"/>
    <w:rPr>
      <w:rFonts w:ascii="Times New Roman" w:eastAsia="Times New Roman" w:hAnsi="Times New Roman" w:cs="Times New Roman"/>
      <w:sz w:val="24"/>
      <w:szCs w:val="24"/>
      <w:lang w:eastAsia="it-IT"/>
    </w:rPr>
  </w:style>
  <w:style w:type="paragraph" w:styleId="Paragrafoelenco">
    <w:name w:val="List Paragraph"/>
    <w:basedOn w:val="Normale"/>
    <w:uiPriority w:val="34"/>
    <w:qFormat/>
    <w:rsid w:val="00C538DC"/>
    <w:pPr>
      <w:ind w:left="720"/>
      <w:contextualSpacing/>
    </w:pPr>
  </w:style>
  <w:style w:type="paragraph" w:styleId="Intestazione">
    <w:name w:val="header"/>
    <w:basedOn w:val="Normale"/>
    <w:link w:val="IntestazioneCarattere"/>
    <w:uiPriority w:val="99"/>
    <w:unhideWhenUsed/>
    <w:rsid w:val="00CE33C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E33C6"/>
  </w:style>
  <w:style w:type="paragraph" w:styleId="Testofumetto">
    <w:name w:val="Balloon Text"/>
    <w:basedOn w:val="Normale"/>
    <w:link w:val="TestofumettoCarattere"/>
    <w:uiPriority w:val="99"/>
    <w:semiHidden/>
    <w:unhideWhenUsed/>
    <w:rsid w:val="00D42ABB"/>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42AB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Didascalia">
    <w:name w:val="caption"/>
    <w:basedOn w:val="Normale"/>
    <w:next w:val="Normale"/>
    <w:uiPriority w:val="35"/>
    <w:unhideWhenUsed/>
    <w:qFormat/>
    <w:rsid w:val="00A4596C"/>
    <w:pPr>
      <w:keepNext/>
      <w:spacing w:after="120" w:line="240" w:lineRule="auto"/>
      <w:jc w:val="both"/>
    </w:pPr>
    <w:rPr>
      <w:rFonts w:ascii="Verdana" w:eastAsia="Times" w:hAnsi="Verdana" w:cs="Times New Roman"/>
      <w:bCs/>
      <w:sz w:val="16"/>
      <w:szCs w:val="18"/>
      <w:lang w:eastAsia="it-IT"/>
    </w:rPr>
  </w:style>
  <w:style w:type="paragraph" w:styleId="Pidipagina">
    <w:name w:val="footer"/>
    <w:basedOn w:val="Normale"/>
    <w:link w:val="PidipaginaCarattere"/>
    <w:uiPriority w:val="99"/>
    <w:rsid w:val="00FE60C8"/>
    <w:pPr>
      <w:tabs>
        <w:tab w:val="center" w:pos="4819"/>
        <w:tab w:val="right" w:pos="9638"/>
      </w:tabs>
      <w:spacing w:after="0" w:line="240" w:lineRule="auto"/>
    </w:pPr>
    <w:rPr>
      <w:rFonts w:ascii="Times New Roman" w:eastAsia="Times New Roman" w:hAnsi="Times New Roman" w:cs="Times New Roman"/>
      <w:sz w:val="24"/>
      <w:szCs w:val="24"/>
      <w:lang w:eastAsia="it-IT"/>
    </w:rPr>
  </w:style>
  <w:style w:type="character" w:customStyle="1" w:styleId="PidipaginaCarattere">
    <w:name w:val="Piè di pagina Carattere"/>
    <w:basedOn w:val="Carpredefinitoparagrafo"/>
    <w:link w:val="Pidipagina"/>
    <w:uiPriority w:val="99"/>
    <w:rsid w:val="00FE60C8"/>
    <w:rPr>
      <w:rFonts w:ascii="Times New Roman" w:eastAsia="Times New Roman" w:hAnsi="Times New Roman" w:cs="Times New Roman"/>
      <w:sz w:val="24"/>
      <w:szCs w:val="24"/>
      <w:lang w:eastAsia="it-IT"/>
    </w:rPr>
  </w:style>
  <w:style w:type="paragraph" w:styleId="Paragrafoelenco">
    <w:name w:val="List Paragraph"/>
    <w:basedOn w:val="Normale"/>
    <w:uiPriority w:val="34"/>
    <w:qFormat/>
    <w:rsid w:val="00C538DC"/>
    <w:pPr>
      <w:ind w:left="720"/>
      <w:contextualSpacing/>
    </w:pPr>
  </w:style>
  <w:style w:type="paragraph" w:styleId="Intestazione">
    <w:name w:val="header"/>
    <w:basedOn w:val="Normale"/>
    <w:link w:val="IntestazioneCarattere"/>
    <w:uiPriority w:val="99"/>
    <w:unhideWhenUsed/>
    <w:rsid w:val="00CE33C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E33C6"/>
  </w:style>
  <w:style w:type="paragraph" w:styleId="Testofumetto">
    <w:name w:val="Balloon Text"/>
    <w:basedOn w:val="Normale"/>
    <w:link w:val="TestofumettoCarattere"/>
    <w:uiPriority w:val="99"/>
    <w:semiHidden/>
    <w:unhideWhenUsed/>
    <w:rsid w:val="00D42ABB"/>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42AB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4</Pages>
  <Words>949</Words>
  <Characters>5412</Characters>
  <Application>Microsoft Office Word</Application>
  <DocSecurity>0</DocSecurity>
  <Lines>45</Lines>
  <Paragraphs>12</Paragraphs>
  <ScaleCrop>false</ScaleCrop>
  <HeadingPairs>
    <vt:vector size="2" baseType="variant">
      <vt:variant>
        <vt:lpstr>Titolo</vt:lpstr>
      </vt:variant>
      <vt:variant>
        <vt:i4>1</vt:i4>
      </vt:variant>
    </vt:vector>
  </HeadingPairs>
  <TitlesOfParts>
    <vt:vector size="1" baseType="lpstr">
      <vt:lpstr/>
    </vt:vector>
  </TitlesOfParts>
  <Company>Corte dei conti</Company>
  <LinksUpToDate>false</LinksUpToDate>
  <CharactersWithSpaces>6349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Franco Antonio</dc:creator>
  <cp:lastModifiedBy>Battistini Michela</cp:lastModifiedBy>
  <cp:revision>15</cp:revision>
  <cp:lastPrinted>2014-10-16T09:57:00Z</cp:lastPrinted>
  <dcterms:created xsi:type="dcterms:W3CDTF">2014-10-14T13:52:00Z</dcterms:created>
  <dcterms:modified xsi:type="dcterms:W3CDTF">2014-10-16T09:58:00Z</dcterms:modified>
</cp:coreProperties>
</file>