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F8" w:rsidRDefault="00E176F8" w:rsidP="00BE7FD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Del. n. </w:t>
      </w:r>
      <w:r w:rsidR="008D343B">
        <w:rPr>
          <w:rFonts w:ascii="Verdana" w:hAnsi="Verdana"/>
          <w:sz w:val="20"/>
          <w:szCs w:val="20"/>
        </w:rPr>
        <w:t>3/2015/</w:t>
      </w:r>
      <w:r>
        <w:rPr>
          <w:rFonts w:ascii="Verdana" w:hAnsi="Verdana"/>
          <w:sz w:val="20"/>
          <w:szCs w:val="20"/>
        </w:rPr>
        <w:t>PAR</w:t>
      </w:r>
    </w:p>
    <w:p w:rsidR="008D343B" w:rsidRDefault="008D343B" w:rsidP="00BE7FD4">
      <w:pPr>
        <w:rPr>
          <w:rFonts w:ascii="Verdana" w:hAnsi="Verdana"/>
          <w:sz w:val="20"/>
          <w:szCs w:val="20"/>
        </w:rPr>
      </w:pPr>
    </w:p>
    <w:p w:rsidR="008D343B" w:rsidRDefault="008D343B" w:rsidP="00BE7FD4">
      <w:pPr>
        <w:rPr>
          <w:rFonts w:ascii="Verdana" w:hAnsi="Verdana"/>
          <w:sz w:val="20"/>
          <w:szCs w:val="20"/>
        </w:rPr>
      </w:pPr>
    </w:p>
    <w:p w:rsidR="00E176F8" w:rsidRDefault="00E176F8" w:rsidP="00BE7FD4">
      <w:pPr>
        <w:jc w:val="center"/>
        <w:rPr>
          <w:rFonts w:ascii="Verdana" w:hAnsi="Verdana"/>
          <w:sz w:val="20"/>
          <w:szCs w:val="20"/>
        </w:rPr>
      </w:pPr>
      <w:r w:rsidRPr="006D04A1">
        <w:rPr>
          <w:rFonts w:ascii="Verdana" w:hAnsi="Verdana"/>
          <w:sz w:val="20"/>
          <w:szCs w:val="20"/>
        </w:rPr>
        <w:object w:dxaOrig="262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72.75pt" o:ole="">
            <v:imagedata r:id="rId7" o:title=""/>
          </v:shape>
          <o:OLEObject Type="Embed" ProgID="Word.Picture.8" ShapeID="_x0000_i1025" DrawAspect="Content" ObjectID="_1482139631" r:id="rId8"/>
        </w:object>
      </w:r>
    </w:p>
    <w:p w:rsidR="00E176F8" w:rsidRDefault="00E176F8" w:rsidP="00BE7FD4">
      <w:pPr>
        <w:rPr>
          <w:rFonts w:ascii="Verdana" w:hAnsi="Verdana"/>
          <w:sz w:val="20"/>
          <w:szCs w:val="20"/>
        </w:rPr>
      </w:pPr>
    </w:p>
    <w:p w:rsidR="00E176F8" w:rsidRDefault="00E176F8" w:rsidP="00BE7FD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Sezione regionale di controllo per la Toscana</w:t>
      </w:r>
    </w:p>
    <w:p w:rsidR="004679AB" w:rsidRDefault="004679AB" w:rsidP="00BE7FD4">
      <w:pPr>
        <w:jc w:val="center"/>
        <w:rPr>
          <w:rFonts w:ascii="Verdana" w:hAnsi="Verdana"/>
          <w:sz w:val="20"/>
          <w:szCs w:val="20"/>
        </w:rPr>
      </w:pPr>
    </w:p>
    <w:p w:rsidR="00E176F8" w:rsidRDefault="00E176F8" w:rsidP="004679A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composta dai magistrati:</w:t>
      </w:r>
    </w:p>
    <w:p w:rsidR="00E176F8" w:rsidRDefault="00E176F8" w:rsidP="00BE7FD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Gaetano D’AURIA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Presidente</w:t>
      </w:r>
    </w:p>
    <w:p w:rsidR="00E176F8" w:rsidRDefault="00E176F8" w:rsidP="00BE7FD4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Paolo PELUFFO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Consigliere, relatore</w:t>
      </w:r>
    </w:p>
    <w:p w:rsidR="00E176F8" w:rsidRDefault="00E176F8" w:rsidP="009E1B3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Emilia TRISCIUOGLIO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Consigliere</w:t>
      </w:r>
    </w:p>
    <w:p w:rsidR="00E176F8" w:rsidRDefault="00E176F8" w:rsidP="00BE7FD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Laura D’AMBROSIO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Consigliere</w:t>
      </w:r>
    </w:p>
    <w:p w:rsidR="004679AB" w:rsidRDefault="004679AB" w:rsidP="009E1B3E">
      <w:pPr>
        <w:spacing w:before="120" w:after="120"/>
        <w:rPr>
          <w:rFonts w:ascii="Verdana" w:hAnsi="Verdana"/>
          <w:sz w:val="20"/>
          <w:szCs w:val="20"/>
        </w:rPr>
      </w:pPr>
    </w:p>
    <w:p w:rsidR="00E176F8" w:rsidRDefault="00E176F8" w:rsidP="009E1B3E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nell’adunanza del 17 dicembre 2014,</w:t>
      </w:r>
    </w:p>
    <w:p w:rsidR="00E176F8" w:rsidRDefault="00E176F8" w:rsidP="009F170B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VISTO l’art. 100, comma 2, </w:t>
      </w:r>
      <w:proofErr w:type="spellStart"/>
      <w:r>
        <w:rPr>
          <w:rFonts w:ascii="Verdana" w:hAnsi="Verdana"/>
          <w:sz w:val="20"/>
          <w:szCs w:val="20"/>
        </w:rPr>
        <w:t>Cost</w:t>
      </w:r>
      <w:proofErr w:type="spellEnd"/>
      <w:r w:rsidR="004679A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;</w:t>
      </w:r>
    </w:p>
    <w:p w:rsidR="00E176F8" w:rsidRDefault="00E176F8" w:rsidP="009F170B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VISTO il </w:t>
      </w:r>
      <w:proofErr w:type="spellStart"/>
      <w:r w:rsidR="004679AB">
        <w:rPr>
          <w:rFonts w:ascii="Verdana" w:hAnsi="Verdana"/>
          <w:sz w:val="20"/>
          <w:szCs w:val="20"/>
        </w:rPr>
        <w:t>t.u.</w:t>
      </w:r>
      <w:proofErr w:type="spellEnd"/>
      <w:r w:rsidR="004679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delle leggi sulla Corte dei conti, approvato con </w:t>
      </w:r>
      <w:proofErr w:type="spellStart"/>
      <w:r w:rsidR="004679AB">
        <w:rPr>
          <w:rFonts w:ascii="Verdana" w:hAnsi="Verdana"/>
          <w:sz w:val="20"/>
          <w:szCs w:val="20"/>
        </w:rPr>
        <w:t>r.d.</w:t>
      </w:r>
      <w:proofErr w:type="spellEnd"/>
      <w:r>
        <w:rPr>
          <w:rFonts w:ascii="Verdana" w:hAnsi="Verdana"/>
          <w:sz w:val="20"/>
          <w:szCs w:val="20"/>
        </w:rPr>
        <w:t xml:space="preserve"> 12 luglio 1934, n. 1214, e successive modificazioni;</w:t>
      </w:r>
    </w:p>
    <w:p w:rsidR="00E176F8" w:rsidRDefault="00E176F8" w:rsidP="009F170B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VISTA la l</w:t>
      </w:r>
      <w:r w:rsidR="004679A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14 gennaio 1994, n. 20, recante disposizioni in materia di giurisdizione e controllo della Corte dei conti;</w:t>
      </w:r>
    </w:p>
    <w:p w:rsidR="00E176F8" w:rsidRDefault="00E176F8" w:rsidP="009F170B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VISTA la l</w:t>
      </w:r>
      <w:r w:rsidR="004679A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5 giugno 2003</w:t>
      </w:r>
      <w:r w:rsidR="00BE32E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n. 131, recante disposizioni per l’adeguamento dell’ordinamento della Repubblica alla l</w:t>
      </w:r>
      <w:r w:rsidR="004679AB">
        <w:rPr>
          <w:rFonts w:ascii="Verdana" w:hAnsi="Verdana"/>
          <w:sz w:val="20"/>
          <w:szCs w:val="20"/>
        </w:rPr>
        <w:t xml:space="preserve">. </w:t>
      </w:r>
      <w:proofErr w:type="spellStart"/>
      <w:r w:rsidR="004679AB">
        <w:rPr>
          <w:rFonts w:ascii="Verdana" w:hAnsi="Verdana"/>
          <w:sz w:val="20"/>
          <w:szCs w:val="20"/>
        </w:rPr>
        <w:t>cost</w:t>
      </w:r>
      <w:proofErr w:type="spellEnd"/>
      <w:r w:rsidR="004679AB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18 ottobre 2001, n. 3;</w:t>
      </w:r>
    </w:p>
    <w:p w:rsidR="00E176F8" w:rsidRDefault="00E176F8" w:rsidP="009F170B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VISTO il regolamento n. 14/2000 per l’organizzazione delle funzioni di controllo della Corte dei conti, deliberato dalle Sezioni </w:t>
      </w:r>
      <w:r w:rsidR="004679AB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iunite della Corte dei conti in data 16 giugno 2000 e successive modificazioni;</w:t>
      </w:r>
    </w:p>
    <w:p w:rsidR="00E176F8" w:rsidRDefault="00E176F8" w:rsidP="009F170B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VISTA la convenzione stipulata il 16 giugno 2006 tra </w:t>
      </w:r>
      <w:r w:rsidR="004679AB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 xml:space="preserve">Sezione regionale di controllo, </w:t>
      </w:r>
      <w:r w:rsidR="004679AB">
        <w:rPr>
          <w:rFonts w:ascii="Verdana" w:hAnsi="Verdana"/>
          <w:sz w:val="20"/>
          <w:szCs w:val="20"/>
        </w:rPr>
        <w:t xml:space="preserve">il </w:t>
      </w:r>
      <w:r>
        <w:rPr>
          <w:rFonts w:ascii="Verdana" w:hAnsi="Verdana"/>
          <w:sz w:val="20"/>
          <w:szCs w:val="20"/>
        </w:rPr>
        <w:t xml:space="preserve">Consiglio delle autonomie locali e </w:t>
      </w:r>
      <w:r w:rsidR="004679AB">
        <w:rPr>
          <w:rFonts w:ascii="Verdana" w:hAnsi="Verdana"/>
          <w:sz w:val="20"/>
          <w:szCs w:val="20"/>
        </w:rPr>
        <w:t xml:space="preserve">la </w:t>
      </w:r>
      <w:r>
        <w:rPr>
          <w:rFonts w:ascii="Verdana" w:hAnsi="Verdana"/>
          <w:sz w:val="20"/>
          <w:szCs w:val="20"/>
        </w:rPr>
        <w:t xml:space="preserve">Giunta regionale </w:t>
      </w:r>
      <w:r w:rsidR="004679AB">
        <w:rPr>
          <w:rFonts w:ascii="Verdana" w:hAnsi="Verdana"/>
          <w:sz w:val="20"/>
          <w:szCs w:val="20"/>
        </w:rPr>
        <w:t xml:space="preserve">della </w:t>
      </w:r>
      <w:r>
        <w:rPr>
          <w:rFonts w:ascii="Verdana" w:hAnsi="Verdana"/>
          <w:sz w:val="20"/>
          <w:szCs w:val="20"/>
        </w:rPr>
        <w:t>Toscana in materia di “ulteriori forme di collaborazione” tra Corte ed autonomie, ai sensi dell’art. 7, comma 8, della citata l</w:t>
      </w:r>
      <w:r w:rsidR="004679A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n. 131</w:t>
      </w:r>
      <w:r w:rsidR="004679AB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2003;</w:t>
      </w:r>
    </w:p>
    <w:p w:rsidR="00E176F8" w:rsidRDefault="00E176F8" w:rsidP="009F170B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VISTA la richiesta di parere formulata dal Sindaco del Comune di Villa Collemandina, inoltrata dal Consiglio delle autonomie locali con nota 29 luglio 2014</w:t>
      </w:r>
      <w:r w:rsidR="004679AB">
        <w:rPr>
          <w:rFonts w:ascii="Verdana" w:hAnsi="Verdana"/>
          <w:sz w:val="20"/>
          <w:szCs w:val="20"/>
        </w:rPr>
        <w:t>,</w:t>
      </w:r>
      <w:r w:rsidR="004679AB" w:rsidRPr="004679AB">
        <w:rPr>
          <w:rFonts w:ascii="Verdana" w:hAnsi="Verdana"/>
          <w:sz w:val="20"/>
          <w:szCs w:val="20"/>
        </w:rPr>
        <w:t xml:space="preserve"> </w:t>
      </w:r>
      <w:proofErr w:type="spellStart"/>
      <w:r w:rsidR="004679AB">
        <w:rPr>
          <w:rFonts w:ascii="Verdana" w:hAnsi="Verdana"/>
          <w:sz w:val="20"/>
          <w:szCs w:val="20"/>
        </w:rPr>
        <w:t>prot</w:t>
      </w:r>
      <w:proofErr w:type="spellEnd"/>
      <w:r w:rsidR="004679AB">
        <w:rPr>
          <w:rFonts w:ascii="Verdana" w:hAnsi="Verdana"/>
          <w:sz w:val="20"/>
          <w:szCs w:val="20"/>
        </w:rPr>
        <w:t>. n. 13986/1.13.9</w:t>
      </w:r>
      <w:r>
        <w:rPr>
          <w:rFonts w:ascii="Verdana" w:hAnsi="Verdana"/>
          <w:sz w:val="20"/>
          <w:szCs w:val="20"/>
        </w:rPr>
        <w:t>;</w:t>
      </w:r>
    </w:p>
    <w:p w:rsidR="00E176F8" w:rsidRDefault="00E176F8" w:rsidP="009F170B">
      <w:pPr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UDITO il relatore, consigliere Paolo </w:t>
      </w:r>
      <w:proofErr w:type="spellStart"/>
      <w:r>
        <w:rPr>
          <w:rFonts w:ascii="Verdana" w:hAnsi="Verdana"/>
          <w:sz w:val="20"/>
          <w:szCs w:val="20"/>
        </w:rPr>
        <w:t>Peluffo</w:t>
      </w:r>
      <w:proofErr w:type="spellEnd"/>
      <w:r>
        <w:rPr>
          <w:rFonts w:ascii="Verdana" w:hAnsi="Verdana"/>
          <w:sz w:val="20"/>
          <w:szCs w:val="20"/>
        </w:rPr>
        <w:t>;</w:t>
      </w:r>
    </w:p>
    <w:p w:rsidR="00E176F8" w:rsidRDefault="00E176F8" w:rsidP="00BE7FD4">
      <w:pPr>
        <w:rPr>
          <w:rFonts w:ascii="Verdana" w:hAnsi="Verdana"/>
          <w:sz w:val="20"/>
          <w:szCs w:val="20"/>
        </w:rPr>
      </w:pPr>
    </w:p>
    <w:p w:rsidR="00E176F8" w:rsidRDefault="00E176F8" w:rsidP="00BE7FD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PREMESSO </w:t>
      </w:r>
    </w:p>
    <w:p w:rsidR="00E176F8" w:rsidRDefault="00E176F8" w:rsidP="00BE7FD4">
      <w:pPr>
        <w:jc w:val="center"/>
        <w:rPr>
          <w:rFonts w:ascii="Verdana" w:hAnsi="Verdana"/>
          <w:sz w:val="20"/>
          <w:szCs w:val="20"/>
        </w:rPr>
      </w:pPr>
    </w:p>
    <w:p w:rsidR="00E176F8" w:rsidRDefault="00E176F8" w:rsidP="00F55D6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Il Comune di Villa Collemandina richiede parere in ordine alla possibilità di procedere all’acquisto di un terreno per la realizzazione di un parco giochi, utilizzando un contributo</w:t>
      </w:r>
      <w:r w:rsidR="005D146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vincolato a tal fine</w:t>
      </w:r>
      <w:r w:rsidR="004679A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erogato da una fondazione bancaria.</w:t>
      </w:r>
    </w:p>
    <w:p w:rsidR="00E176F8" w:rsidRDefault="00E176F8" w:rsidP="00BE7FD4">
      <w:pPr>
        <w:jc w:val="center"/>
        <w:rPr>
          <w:rFonts w:ascii="Verdana" w:hAnsi="Verdana"/>
          <w:sz w:val="20"/>
          <w:szCs w:val="20"/>
        </w:rPr>
      </w:pPr>
    </w:p>
    <w:p w:rsidR="00E176F8" w:rsidRDefault="00E176F8" w:rsidP="00BE7FD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AMMISSIBILITÀ</w:t>
      </w:r>
    </w:p>
    <w:p w:rsidR="00E176F8" w:rsidRDefault="00E176F8" w:rsidP="00BE7FD4">
      <w:pPr>
        <w:jc w:val="center"/>
        <w:rPr>
          <w:rFonts w:ascii="Verdana" w:hAnsi="Verdana"/>
          <w:sz w:val="20"/>
          <w:szCs w:val="20"/>
        </w:rPr>
      </w:pPr>
    </w:p>
    <w:p w:rsidR="00E176F8" w:rsidRDefault="00E176F8" w:rsidP="00DF3F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La richiesta risulta ammissibile sia nel suo profilo soggettivo, essendo </w:t>
      </w:r>
      <w:r w:rsidR="004679AB">
        <w:rPr>
          <w:rFonts w:ascii="Verdana" w:hAnsi="Verdana"/>
          <w:sz w:val="20"/>
          <w:szCs w:val="20"/>
        </w:rPr>
        <w:t xml:space="preserve">stata </w:t>
      </w:r>
      <w:r>
        <w:rPr>
          <w:rFonts w:ascii="Verdana" w:hAnsi="Verdana"/>
          <w:sz w:val="20"/>
          <w:szCs w:val="20"/>
        </w:rPr>
        <w:t xml:space="preserve">inoltrata per mezzo del </w:t>
      </w:r>
      <w:r w:rsidRPr="00B30DEA">
        <w:rPr>
          <w:rFonts w:ascii="Verdana" w:hAnsi="Verdana"/>
          <w:sz w:val="20"/>
          <w:szCs w:val="20"/>
        </w:rPr>
        <w:t>Consiglio delle autonomie locali della Regione Toscana</w:t>
      </w:r>
      <w:r>
        <w:rPr>
          <w:rFonts w:ascii="Verdana" w:hAnsi="Verdana"/>
          <w:sz w:val="20"/>
          <w:szCs w:val="20"/>
        </w:rPr>
        <w:t xml:space="preserve"> dal rappresentante dell’ente, sia </w:t>
      </w:r>
      <w:r w:rsidR="004679AB">
        <w:rPr>
          <w:rFonts w:ascii="Verdana" w:hAnsi="Verdana"/>
          <w:sz w:val="20"/>
          <w:szCs w:val="20"/>
        </w:rPr>
        <w:t xml:space="preserve">nel suo profilo </w:t>
      </w:r>
      <w:r>
        <w:rPr>
          <w:rFonts w:ascii="Verdana" w:hAnsi="Verdana"/>
          <w:sz w:val="20"/>
          <w:szCs w:val="20"/>
        </w:rPr>
        <w:t>oggettivo, vertendo sull’interpr</w:t>
      </w:r>
      <w:r w:rsidRPr="004679AB">
        <w:rPr>
          <w:rFonts w:ascii="Verdana" w:hAnsi="Verdana"/>
          <w:sz w:val="20"/>
          <w:szCs w:val="20"/>
        </w:rPr>
        <w:t>etazione dell’art. 12, comma 1</w:t>
      </w:r>
      <w:r w:rsidR="004679AB" w:rsidRPr="004679AB">
        <w:rPr>
          <w:rFonts w:ascii="Verdana" w:hAnsi="Verdana"/>
          <w:sz w:val="20"/>
          <w:szCs w:val="20"/>
        </w:rPr>
        <w:t>-</w:t>
      </w:r>
      <w:r w:rsidRPr="005D146A">
        <w:rPr>
          <w:rFonts w:ascii="Verdana" w:hAnsi="Verdana"/>
          <w:i/>
          <w:sz w:val="20"/>
          <w:szCs w:val="20"/>
        </w:rPr>
        <w:t>quater</w:t>
      </w:r>
      <w:r w:rsidRPr="004679AB">
        <w:rPr>
          <w:rFonts w:ascii="Verdana" w:hAnsi="Verdana"/>
          <w:sz w:val="20"/>
          <w:szCs w:val="20"/>
        </w:rPr>
        <w:t xml:space="preserve">, </w:t>
      </w:r>
      <w:proofErr w:type="spellStart"/>
      <w:r w:rsidRPr="004679AB">
        <w:rPr>
          <w:rFonts w:ascii="Verdana" w:hAnsi="Verdana"/>
          <w:sz w:val="20"/>
          <w:szCs w:val="20"/>
        </w:rPr>
        <w:t>d.l.</w:t>
      </w:r>
      <w:proofErr w:type="spellEnd"/>
      <w:r w:rsidRPr="004679AB">
        <w:rPr>
          <w:rFonts w:ascii="Verdana" w:hAnsi="Verdana"/>
          <w:sz w:val="20"/>
          <w:szCs w:val="20"/>
        </w:rPr>
        <w:t xml:space="preserve"> 6 luglio 2011 n. 98, conv</w:t>
      </w:r>
      <w:r w:rsidR="004679AB" w:rsidRPr="004679AB">
        <w:rPr>
          <w:rFonts w:ascii="Verdana" w:hAnsi="Verdana"/>
          <w:sz w:val="20"/>
          <w:szCs w:val="20"/>
        </w:rPr>
        <w:t xml:space="preserve">ertito dalla </w:t>
      </w:r>
      <w:r w:rsidRPr="004679AB">
        <w:rPr>
          <w:rFonts w:ascii="Verdana" w:hAnsi="Verdana"/>
          <w:sz w:val="20"/>
          <w:szCs w:val="20"/>
        </w:rPr>
        <w:t>l. 15 luglio 2011, n. 111</w:t>
      </w:r>
      <w:r w:rsidR="004679AB" w:rsidRPr="004679AB">
        <w:rPr>
          <w:rFonts w:ascii="Verdana" w:hAnsi="Verdana"/>
          <w:sz w:val="20"/>
          <w:szCs w:val="20"/>
        </w:rPr>
        <w:t xml:space="preserve"> </w:t>
      </w:r>
      <w:r w:rsidR="004679AB">
        <w:rPr>
          <w:rFonts w:ascii="Verdana" w:hAnsi="Verdana"/>
          <w:sz w:val="20"/>
          <w:szCs w:val="20"/>
        </w:rPr>
        <w:t>(“</w:t>
      </w:r>
      <w:r w:rsidR="004679AB" w:rsidRPr="004679AB">
        <w:rPr>
          <w:rFonts w:ascii="Verdana" w:hAnsi="Verdana"/>
          <w:sz w:val="20"/>
          <w:szCs w:val="20"/>
        </w:rPr>
        <w:t>Disposizioni urgenti per la stabilizzazione finanziaria</w:t>
      </w:r>
      <w:r w:rsidR="004679AB">
        <w:rPr>
          <w:rFonts w:ascii="Verdana" w:hAnsi="Verdana"/>
          <w:sz w:val="20"/>
          <w:szCs w:val="20"/>
        </w:rPr>
        <w:t>”)</w:t>
      </w:r>
      <w:r w:rsidRPr="004679AB">
        <w:rPr>
          <w:rFonts w:ascii="Verdana" w:hAnsi="Verdana"/>
          <w:sz w:val="20"/>
          <w:szCs w:val="20"/>
        </w:rPr>
        <w:t xml:space="preserve">, come modificato dall’art. 1, comma </w:t>
      </w:r>
      <w:smartTag w:uri="urn:schemas-microsoft-com:office:smarttags" w:element="metricconverter">
        <w:smartTagPr>
          <w:attr w:name="ProductID" w:val="138, l"/>
        </w:smartTagPr>
        <w:r w:rsidRPr="004679AB">
          <w:rPr>
            <w:rFonts w:ascii="Verdana" w:hAnsi="Verdana"/>
            <w:sz w:val="20"/>
            <w:szCs w:val="20"/>
          </w:rPr>
          <w:t>138, l</w:t>
        </w:r>
      </w:smartTag>
      <w:r w:rsidRPr="004679AB">
        <w:rPr>
          <w:rFonts w:ascii="Verdana" w:hAnsi="Verdana"/>
          <w:sz w:val="20"/>
          <w:szCs w:val="20"/>
        </w:rPr>
        <w:t>. 24 dicembre 2012</w:t>
      </w:r>
      <w:r w:rsidR="004679AB">
        <w:rPr>
          <w:rFonts w:ascii="Verdana" w:hAnsi="Verdana"/>
          <w:sz w:val="20"/>
          <w:szCs w:val="20"/>
        </w:rPr>
        <w:t>,</w:t>
      </w:r>
      <w:r w:rsidRPr="004679AB">
        <w:rPr>
          <w:rFonts w:ascii="Verdana" w:hAnsi="Verdana"/>
          <w:sz w:val="20"/>
          <w:szCs w:val="20"/>
        </w:rPr>
        <w:t xml:space="preserve"> n. 228</w:t>
      </w:r>
      <w:r w:rsidR="004679AB" w:rsidRPr="004679AB">
        <w:rPr>
          <w:rFonts w:ascii="Verdana" w:hAnsi="Verdana"/>
          <w:sz w:val="20"/>
          <w:szCs w:val="20"/>
        </w:rPr>
        <w:t xml:space="preserve"> (legge di stabilità 2013)</w:t>
      </w:r>
      <w:r w:rsidR="004679AB">
        <w:rPr>
          <w:rFonts w:ascii="Verdana" w:hAnsi="Verdana"/>
          <w:sz w:val="20"/>
          <w:szCs w:val="20"/>
        </w:rPr>
        <w:t xml:space="preserve">, vale a dire di una disposizione </w:t>
      </w:r>
      <w:r>
        <w:rPr>
          <w:rFonts w:ascii="Verdana" w:hAnsi="Verdana"/>
          <w:sz w:val="20"/>
          <w:szCs w:val="20"/>
        </w:rPr>
        <w:t xml:space="preserve">contenuta in un </w:t>
      </w:r>
      <w:r w:rsidRPr="00BA5BAF">
        <w:rPr>
          <w:rFonts w:ascii="Verdana" w:hAnsi="Verdana"/>
          <w:i/>
          <w:sz w:val="20"/>
          <w:szCs w:val="20"/>
        </w:rPr>
        <w:t>corpus</w:t>
      </w:r>
      <w:r>
        <w:rPr>
          <w:rFonts w:ascii="Verdana" w:hAnsi="Verdana"/>
          <w:sz w:val="20"/>
          <w:szCs w:val="20"/>
        </w:rPr>
        <w:t xml:space="preserve"> normativo espressamente riguardante misure di contenimento della spesa</w:t>
      </w:r>
      <w:r w:rsidR="004679AB">
        <w:rPr>
          <w:rFonts w:ascii="Verdana" w:hAnsi="Verdana"/>
          <w:sz w:val="20"/>
          <w:szCs w:val="20"/>
        </w:rPr>
        <w:t xml:space="preserve"> pubblica</w:t>
      </w:r>
      <w:r>
        <w:rPr>
          <w:rFonts w:ascii="Verdana" w:hAnsi="Verdana"/>
          <w:sz w:val="20"/>
          <w:szCs w:val="20"/>
        </w:rPr>
        <w:t>.</w:t>
      </w:r>
    </w:p>
    <w:p w:rsidR="00E176F8" w:rsidRDefault="00E176F8" w:rsidP="00526AF1">
      <w:pPr>
        <w:rPr>
          <w:rFonts w:ascii="Verdana" w:hAnsi="Verdana"/>
          <w:sz w:val="20"/>
          <w:szCs w:val="20"/>
        </w:rPr>
      </w:pPr>
    </w:p>
    <w:p w:rsidR="00E176F8" w:rsidRDefault="00E176F8" w:rsidP="00BA5BAF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MERITO</w:t>
      </w:r>
    </w:p>
    <w:p w:rsidR="00E176F8" w:rsidRDefault="00E176F8" w:rsidP="00526AF1">
      <w:pPr>
        <w:rPr>
          <w:rFonts w:ascii="Verdana" w:hAnsi="Verdana"/>
          <w:sz w:val="20"/>
          <w:szCs w:val="20"/>
        </w:rPr>
      </w:pPr>
    </w:p>
    <w:p w:rsidR="00E176F8" w:rsidRDefault="00E176F8" w:rsidP="009F170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La </w:t>
      </w:r>
      <w:r w:rsidR="004679AB">
        <w:rPr>
          <w:rFonts w:ascii="Verdana" w:hAnsi="Verdana"/>
          <w:sz w:val="20"/>
          <w:szCs w:val="20"/>
        </w:rPr>
        <w:t xml:space="preserve">disposizione </w:t>
      </w:r>
      <w:r>
        <w:rPr>
          <w:rFonts w:ascii="Verdana" w:hAnsi="Verdana"/>
          <w:sz w:val="20"/>
          <w:szCs w:val="20"/>
        </w:rPr>
        <w:t>di cui il Comune chiede l’interpretazione dispone che “</w:t>
      </w:r>
      <w:r w:rsidRPr="003A1BA0">
        <w:rPr>
          <w:rFonts w:ascii="Verdana" w:hAnsi="Verdana"/>
          <w:sz w:val="20"/>
          <w:szCs w:val="20"/>
        </w:rPr>
        <w:t xml:space="preserve">Per l'anno 2013 le amministrazioni pubbliche inserite nel conto economico consolidato della pubblica amministrazione </w:t>
      </w:r>
      <w:r>
        <w:rPr>
          <w:rFonts w:ascii="Verdana" w:hAnsi="Verdana"/>
          <w:sz w:val="20"/>
          <w:szCs w:val="20"/>
        </w:rPr>
        <w:t>[…]</w:t>
      </w:r>
      <w:r w:rsidRPr="003A1BA0">
        <w:rPr>
          <w:rFonts w:ascii="Verdana" w:hAnsi="Verdana"/>
          <w:sz w:val="20"/>
          <w:szCs w:val="20"/>
        </w:rPr>
        <w:t xml:space="preserve"> non possono acquistare immobili a titolo oneroso né stipulare contratti di locazione passiva salvo che si tratti di rinnovi di contratti, ovvero la locazione sia stipulata per acquisire, a condizioni più vantaggiose, la disponibilità di locali in sostituzione di immobili dismessi ovvero per continuare ad avere la di</w:t>
      </w:r>
      <w:r>
        <w:rPr>
          <w:rFonts w:ascii="Verdana" w:hAnsi="Verdana"/>
          <w:sz w:val="20"/>
          <w:szCs w:val="20"/>
        </w:rPr>
        <w:t>sponibilità di immobili venduti”</w:t>
      </w:r>
      <w:r w:rsidRPr="003A1BA0">
        <w:rPr>
          <w:rFonts w:ascii="Verdana" w:hAnsi="Verdana"/>
          <w:sz w:val="20"/>
          <w:szCs w:val="20"/>
        </w:rPr>
        <w:t xml:space="preserve">. </w:t>
      </w:r>
    </w:p>
    <w:p w:rsidR="00E176F8" w:rsidRDefault="004679AB" w:rsidP="009F170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Come accennato, la disposizione è parte </w:t>
      </w:r>
      <w:r w:rsidR="00E176F8">
        <w:rPr>
          <w:rFonts w:ascii="Verdana" w:hAnsi="Verdana"/>
          <w:sz w:val="20"/>
          <w:szCs w:val="20"/>
        </w:rPr>
        <w:t xml:space="preserve">di un intervento normativo </w:t>
      </w:r>
      <w:r>
        <w:rPr>
          <w:rFonts w:ascii="Verdana" w:hAnsi="Verdana"/>
          <w:sz w:val="20"/>
          <w:szCs w:val="20"/>
        </w:rPr>
        <w:t xml:space="preserve">finalizzato al contenimento della spesa pubblica, nell’ambito di norme </w:t>
      </w:r>
      <w:r w:rsidR="00092378">
        <w:rPr>
          <w:rFonts w:ascii="Verdana" w:hAnsi="Verdana"/>
          <w:sz w:val="20"/>
          <w:szCs w:val="20"/>
        </w:rPr>
        <w:t xml:space="preserve">che, all’interno del citato </w:t>
      </w:r>
      <w:proofErr w:type="spellStart"/>
      <w:r w:rsidR="00092378">
        <w:rPr>
          <w:rFonts w:ascii="Verdana" w:hAnsi="Verdana"/>
          <w:sz w:val="20"/>
          <w:szCs w:val="20"/>
        </w:rPr>
        <w:t>d.l.</w:t>
      </w:r>
      <w:proofErr w:type="spellEnd"/>
      <w:r w:rsidR="00092378">
        <w:rPr>
          <w:rFonts w:ascii="Verdana" w:hAnsi="Verdana"/>
          <w:sz w:val="20"/>
          <w:szCs w:val="20"/>
        </w:rPr>
        <w:t xml:space="preserve"> n. 98/2011, compongono il </w:t>
      </w:r>
      <w:r w:rsidR="00E176F8">
        <w:rPr>
          <w:rFonts w:ascii="Verdana" w:hAnsi="Verdana"/>
          <w:sz w:val="20"/>
          <w:szCs w:val="20"/>
        </w:rPr>
        <w:t>Capo II</w:t>
      </w:r>
      <w:r w:rsidR="00092378">
        <w:rPr>
          <w:rFonts w:ascii="Verdana" w:hAnsi="Verdana"/>
          <w:sz w:val="20"/>
          <w:szCs w:val="20"/>
        </w:rPr>
        <w:t xml:space="preserve">, intestato </w:t>
      </w:r>
      <w:r w:rsidR="00E176F8">
        <w:rPr>
          <w:rFonts w:ascii="Verdana" w:hAnsi="Verdana"/>
          <w:sz w:val="20"/>
          <w:szCs w:val="20"/>
        </w:rPr>
        <w:t>“</w:t>
      </w:r>
      <w:r w:rsidR="00E176F8" w:rsidRPr="003A1BA0">
        <w:rPr>
          <w:rFonts w:ascii="Verdana" w:hAnsi="Verdana"/>
          <w:sz w:val="20"/>
          <w:szCs w:val="20"/>
        </w:rPr>
        <w:t>Razionalizzazione e monitoraggio della spesa delle amministrazioni pubbliche</w:t>
      </w:r>
      <w:r w:rsidR="00E176F8">
        <w:rPr>
          <w:rFonts w:ascii="Verdana" w:hAnsi="Verdana"/>
          <w:sz w:val="20"/>
          <w:szCs w:val="20"/>
        </w:rPr>
        <w:t>”</w:t>
      </w:r>
      <w:r w:rsidR="00092378">
        <w:rPr>
          <w:rFonts w:ascii="Verdana" w:hAnsi="Verdana"/>
          <w:sz w:val="20"/>
          <w:szCs w:val="20"/>
        </w:rPr>
        <w:t>,</w:t>
      </w:r>
      <w:r w:rsidR="00E176F8">
        <w:rPr>
          <w:rFonts w:ascii="Verdana" w:hAnsi="Verdana"/>
          <w:sz w:val="20"/>
          <w:szCs w:val="20"/>
        </w:rPr>
        <w:t xml:space="preserve"> del </w:t>
      </w:r>
      <w:r w:rsidR="00E176F8" w:rsidRPr="003A1BA0">
        <w:rPr>
          <w:rFonts w:ascii="Verdana" w:hAnsi="Verdana"/>
          <w:sz w:val="20"/>
          <w:szCs w:val="20"/>
        </w:rPr>
        <w:t>Titolo I</w:t>
      </w:r>
      <w:r w:rsidR="00092378">
        <w:rPr>
          <w:rFonts w:ascii="Verdana" w:hAnsi="Verdana"/>
          <w:sz w:val="20"/>
          <w:szCs w:val="20"/>
        </w:rPr>
        <w:t>,</w:t>
      </w:r>
      <w:r w:rsidR="00E176F8">
        <w:rPr>
          <w:rFonts w:ascii="Verdana" w:hAnsi="Verdana"/>
          <w:sz w:val="20"/>
          <w:szCs w:val="20"/>
        </w:rPr>
        <w:t xml:space="preserve"> “</w:t>
      </w:r>
      <w:r w:rsidR="00E176F8" w:rsidRPr="003A1BA0">
        <w:rPr>
          <w:rFonts w:ascii="Verdana" w:hAnsi="Verdana"/>
          <w:sz w:val="20"/>
          <w:szCs w:val="20"/>
        </w:rPr>
        <w:t>Disposizioni per il controllo e la riduzione della spesa pubblica, nonché in materia di entrate</w:t>
      </w:r>
      <w:r w:rsidR="00E176F8">
        <w:rPr>
          <w:rFonts w:ascii="Verdana" w:hAnsi="Verdana"/>
          <w:sz w:val="20"/>
          <w:szCs w:val="20"/>
        </w:rPr>
        <w:t>”.</w:t>
      </w:r>
    </w:p>
    <w:p w:rsidR="00E176F8" w:rsidRDefault="00092378" w:rsidP="009F170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Uno degli strumenti di contenimento della spesa previsti dal </w:t>
      </w:r>
      <w:proofErr w:type="spellStart"/>
      <w:r>
        <w:rPr>
          <w:rFonts w:ascii="Verdana" w:hAnsi="Verdana"/>
          <w:sz w:val="20"/>
          <w:szCs w:val="20"/>
        </w:rPr>
        <w:t>d.l.</w:t>
      </w:r>
      <w:proofErr w:type="spellEnd"/>
      <w:r>
        <w:rPr>
          <w:rFonts w:ascii="Verdana" w:hAnsi="Verdana"/>
          <w:sz w:val="20"/>
          <w:szCs w:val="20"/>
        </w:rPr>
        <w:t xml:space="preserve"> n. 98 è costituito, </w:t>
      </w:r>
      <w:r w:rsidR="00E176F8">
        <w:rPr>
          <w:rFonts w:ascii="Verdana" w:hAnsi="Verdana"/>
          <w:sz w:val="20"/>
          <w:szCs w:val="20"/>
        </w:rPr>
        <w:t>per quanto qui interessa, dal divieto di stipula</w:t>
      </w:r>
      <w:r w:rsidR="005D146A">
        <w:rPr>
          <w:rFonts w:ascii="Verdana" w:hAnsi="Verdana"/>
          <w:sz w:val="20"/>
          <w:szCs w:val="20"/>
        </w:rPr>
        <w:t>r</w:t>
      </w:r>
      <w:r w:rsidR="00E176F8">
        <w:rPr>
          <w:rFonts w:ascii="Verdana" w:hAnsi="Verdana"/>
          <w:sz w:val="20"/>
          <w:szCs w:val="20"/>
        </w:rPr>
        <w:t xml:space="preserve">e </w:t>
      </w:r>
      <w:r w:rsidR="005D146A">
        <w:rPr>
          <w:rFonts w:ascii="Verdana" w:hAnsi="Verdana"/>
          <w:sz w:val="20"/>
          <w:szCs w:val="20"/>
        </w:rPr>
        <w:t>contratti per acquisti immobiliari</w:t>
      </w:r>
      <w:r w:rsidR="00E176F8">
        <w:rPr>
          <w:rFonts w:ascii="Verdana" w:hAnsi="Verdana"/>
          <w:sz w:val="20"/>
          <w:szCs w:val="20"/>
        </w:rPr>
        <w:t xml:space="preserve">, nell’evidente intento di evitare l’impiego di denaro pubblico per </w:t>
      </w:r>
      <w:r w:rsidR="005D146A">
        <w:rPr>
          <w:rFonts w:ascii="Verdana" w:hAnsi="Verdana"/>
          <w:sz w:val="20"/>
          <w:szCs w:val="20"/>
        </w:rPr>
        <w:t>incrementare i</w:t>
      </w:r>
      <w:r w:rsidR="00E176F8">
        <w:rPr>
          <w:rFonts w:ascii="Verdana" w:hAnsi="Verdana"/>
          <w:sz w:val="20"/>
          <w:szCs w:val="20"/>
        </w:rPr>
        <w:t>l patrimonio, salve le ipotesi eccezionali espressamente contemplate dal legislatore.</w:t>
      </w:r>
    </w:p>
    <w:p w:rsidR="00E176F8" w:rsidRPr="00D10601" w:rsidRDefault="00E176F8" w:rsidP="009F170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Peraltro, il riferimento al</w:t>
      </w:r>
      <w:r w:rsidR="00092378">
        <w:rPr>
          <w:rFonts w:ascii="Verdana" w:hAnsi="Verdana"/>
          <w:sz w:val="20"/>
          <w:szCs w:val="20"/>
        </w:rPr>
        <w:t xml:space="preserve"> divieto</w:t>
      </w:r>
      <w:r>
        <w:rPr>
          <w:rFonts w:ascii="Verdana" w:hAnsi="Verdana"/>
          <w:sz w:val="20"/>
          <w:szCs w:val="20"/>
        </w:rPr>
        <w:t xml:space="preserve"> </w:t>
      </w:r>
      <w:r w:rsidR="00092378">
        <w:rPr>
          <w:rFonts w:ascii="Verdana" w:hAnsi="Verdana"/>
          <w:sz w:val="20"/>
          <w:szCs w:val="20"/>
        </w:rPr>
        <w:t xml:space="preserve">di nuovi </w:t>
      </w:r>
      <w:r>
        <w:rPr>
          <w:rFonts w:ascii="Verdana" w:hAnsi="Verdana"/>
          <w:sz w:val="20"/>
          <w:szCs w:val="20"/>
        </w:rPr>
        <w:t>acquisti va inteso non già n</w:t>
      </w:r>
      <w:r w:rsidR="00092378">
        <w:rPr>
          <w:rFonts w:ascii="Verdana" w:hAnsi="Verdana"/>
          <w:sz w:val="20"/>
          <w:szCs w:val="20"/>
        </w:rPr>
        <w:t xml:space="preserve">el senso di </w:t>
      </w:r>
      <w:r>
        <w:rPr>
          <w:rFonts w:ascii="Verdana" w:hAnsi="Verdana"/>
          <w:sz w:val="20"/>
          <w:szCs w:val="20"/>
        </w:rPr>
        <w:t xml:space="preserve"> ricomprendere qualsivoglia contratto ricadente nella categoria di quelli </w:t>
      </w:r>
      <w:r w:rsidR="00092378">
        <w:rPr>
          <w:rFonts w:ascii="Verdana" w:hAnsi="Verdana"/>
          <w:sz w:val="20"/>
          <w:szCs w:val="20"/>
        </w:rPr>
        <w:t xml:space="preserve">che, in base alla disciplina civilistica, identificano il trasferimento della proprietà di un immobile verso il corrispettivo di un prezzo, </w:t>
      </w:r>
      <w:r>
        <w:rPr>
          <w:rFonts w:ascii="Verdana" w:hAnsi="Verdana"/>
          <w:sz w:val="20"/>
          <w:szCs w:val="20"/>
        </w:rPr>
        <w:t xml:space="preserve">bensì, </w:t>
      </w:r>
      <w:r w:rsidR="00092378">
        <w:rPr>
          <w:rFonts w:ascii="Verdana" w:hAnsi="Verdana"/>
          <w:sz w:val="20"/>
          <w:szCs w:val="20"/>
        </w:rPr>
        <w:t>considerate le descritte finalità del divieto, nel s</w:t>
      </w:r>
      <w:r>
        <w:rPr>
          <w:rFonts w:ascii="Verdana" w:hAnsi="Verdana"/>
          <w:sz w:val="20"/>
          <w:szCs w:val="20"/>
        </w:rPr>
        <w:t>enso</w:t>
      </w:r>
      <w:r w:rsidR="0009237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</w:t>
      </w:r>
      <w:r w:rsidR="00092378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annoverare </w:t>
      </w:r>
      <w:r w:rsidR="00663538">
        <w:rPr>
          <w:rFonts w:ascii="Verdana" w:hAnsi="Verdana"/>
          <w:sz w:val="20"/>
          <w:szCs w:val="20"/>
        </w:rPr>
        <w:t>i</w:t>
      </w:r>
      <w:r w:rsidR="00092378">
        <w:rPr>
          <w:rFonts w:ascii="Verdana" w:hAnsi="Verdana"/>
          <w:sz w:val="20"/>
          <w:szCs w:val="20"/>
        </w:rPr>
        <w:t xml:space="preserve"> </w:t>
      </w:r>
      <w:r w:rsidR="00663538">
        <w:rPr>
          <w:rFonts w:ascii="Verdana" w:hAnsi="Verdana"/>
          <w:sz w:val="20"/>
          <w:szCs w:val="20"/>
        </w:rPr>
        <w:t xml:space="preserve">soli </w:t>
      </w:r>
      <w:r w:rsidR="00092378">
        <w:rPr>
          <w:rFonts w:ascii="Verdana" w:hAnsi="Verdana"/>
          <w:sz w:val="20"/>
          <w:szCs w:val="20"/>
        </w:rPr>
        <w:t>contratt</w:t>
      </w:r>
      <w:r w:rsidR="00663538">
        <w:rPr>
          <w:rFonts w:ascii="Verdana" w:hAnsi="Verdana"/>
          <w:sz w:val="20"/>
          <w:szCs w:val="20"/>
        </w:rPr>
        <w:t>i</w:t>
      </w:r>
      <w:r w:rsidR="00092378">
        <w:rPr>
          <w:rFonts w:ascii="Verdana" w:hAnsi="Verdana"/>
          <w:sz w:val="20"/>
          <w:szCs w:val="20"/>
        </w:rPr>
        <w:t xml:space="preserve"> attiv</w:t>
      </w:r>
      <w:r w:rsidR="00663538">
        <w:rPr>
          <w:rFonts w:ascii="Verdana" w:hAnsi="Verdana"/>
          <w:sz w:val="20"/>
          <w:szCs w:val="20"/>
        </w:rPr>
        <w:t>i</w:t>
      </w:r>
      <w:r w:rsidR="00092378">
        <w:rPr>
          <w:rFonts w:ascii="Verdana" w:hAnsi="Verdana"/>
          <w:sz w:val="20"/>
          <w:szCs w:val="20"/>
        </w:rPr>
        <w:t xml:space="preserve"> che determin</w:t>
      </w:r>
      <w:r w:rsidR="005D146A">
        <w:rPr>
          <w:rFonts w:ascii="Verdana" w:hAnsi="Verdana"/>
          <w:sz w:val="20"/>
          <w:szCs w:val="20"/>
        </w:rPr>
        <w:t>an</w:t>
      </w:r>
      <w:r w:rsidR="00092378">
        <w:rPr>
          <w:rFonts w:ascii="Verdana" w:hAnsi="Verdana"/>
          <w:sz w:val="20"/>
          <w:szCs w:val="20"/>
        </w:rPr>
        <w:t xml:space="preserve">o </w:t>
      </w:r>
      <w:r w:rsidR="00663538">
        <w:rPr>
          <w:rFonts w:ascii="Verdana" w:hAnsi="Verdana"/>
          <w:sz w:val="20"/>
          <w:szCs w:val="20"/>
        </w:rPr>
        <w:t xml:space="preserve">un </w:t>
      </w:r>
      <w:r>
        <w:rPr>
          <w:rFonts w:ascii="Verdana" w:hAnsi="Verdana"/>
          <w:sz w:val="20"/>
          <w:szCs w:val="20"/>
        </w:rPr>
        <w:t>oner</w:t>
      </w:r>
      <w:r w:rsidR="00663538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</w:t>
      </w:r>
      <w:r w:rsidR="00663538">
        <w:rPr>
          <w:rFonts w:ascii="Verdana" w:hAnsi="Verdana"/>
          <w:sz w:val="20"/>
          <w:szCs w:val="20"/>
        </w:rPr>
        <w:t>di spesa a car</w:t>
      </w:r>
      <w:r w:rsidR="00663538" w:rsidRPr="00D10601">
        <w:rPr>
          <w:rFonts w:ascii="Verdana" w:hAnsi="Verdana"/>
          <w:sz w:val="20"/>
          <w:szCs w:val="20"/>
        </w:rPr>
        <w:t>ico dell</w:t>
      </w:r>
      <w:r w:rsidRPr="00D10601">
        <w:rPr>
          <w:rFonts w:ascii="Verdana" w:hAnsi="Verdana"/>
          <w:sz w:val="20"/>
          <w:szCs w:val="20"/>
        </w:rPr>
        <w:t xml:space="preserve">’ente. </w:t>
      </w:r>
    </w:p>
    <w:p w:rsidR="00E176F8" w:rsidRPr="00D10601" w:rsidRDefault="00E176F8" w:rsidP="009F170B">
      <w:pPr>
        <w:spacing w:after="120"/>
        <w:rPr>
          <w:rFonts w:ascii="Verdana" w:hAnsi="Verdana"/>
          <w:sz w:val="20"/>
          <w:szCs w:val="20"/>
        </w:rPr>
      </w:pPr>
      <w:r w:rsidRPr="00D10601">
        <w:rPr>
          <w:rFonts w:ascii="Verdana" w:hAnsi="Verdana"/>
          <w:sz w:val="20"/>
          <w:szCs w:val="20"/>
        </w:rPr>
        <w:t xml:space="preserve">Riscontro indiretto di questo assunto è dato dall’interpretazione autentica della norma in oggetto, resa dal legislatore </w:t>
      </w:r>
      <w:r w:rsidR="00663538" w:rsidRPr="00D10601">
        <w:rPr>
          <w:rFonts w:ascii="Verdana" w:hAnsi="Verdana"/>
          <w:sz w:val="20"/>
          <w:szCs w:val="20"/>
        </w:rPr>
        <w:t xml:space="preserve">con </w:t>
      </w:r>
      <w:r w:rsidRPr="00D10601">
        <w:rPr>
          <w:rFonts w:ascii="Verdana" w:hAnsi="Verdana"/>
          <w:sz w:val="20"/>
          <w:szCs w:val="20"/>
        </w:rPr>
        <w:t>l’art. 10-</w:t>
      </w:r>
      <w:r w:rsidRPr="005D146A">
        <w:rPr>
          <w:rFonts w:ascii="Verdana" w:hAnsi="Verdana"/>
          <w:i/>
          <w:sz w:val="20"/>
          <w:szCs w:val="20"/>
        </w:rPr>
        <w:t>bis</w:t>
      </w:r>
      <w:r w:rsidRPr="00D10601">
        <w:rPr>
          <w:rFonts w:ascii="Verdana" w:hAnsi="Verdana"/>
          <w:sz w:val="20"/>
          <w:szCs w:val="20"/>
        </w:rPr>
        <w:t xml:space="preserve"> </w:t>
      </w:r>
      <w:proofErr w:type="spellStart"/>
      <w:r w:rsidRPr="00D10601">
        <w:rPr>
          <w:rFonts w:ascii="Verdana" w:hAnsi="Verdana"/>
          <w:sz w:val="20"/>
          <w:szCs w:val="20"/>
        </w:rPr>
        <w:t>d.l.</w:t>
      </w:r>
      <w:proofErr w:type="spellEnd"/>
      <w:r w:rsidRPr="00D10601">
        <w:rPr>
          <w:rFonts w:ascii="Verdana" w:hAnsi="Verdana"/>
          <w:sz w:val="20"/>
          <w:szCs w:val="20"/>
        </w:rPr>
        <w:t xml:space="preserve"> 8 aprile 2013</w:t>
      </w:r>
      <w:r w:rsidR="00663538" w:rsidRPr="00D10601">
        <w:rPr>
          <w:rFonts w:ascii="Verdana" w:hAnsi="Verdana"/>
          <w:sz w:val="20"/>
          <w:szCs w:val="20"/>
        </w:rPr>
        <w:t>,</w:t>
      </w:r>
      <w:r w:rsidRPr="00D10601">
        <w:rPr>
          <w:rFonts w:ascii="Verdana" w:hAnsi="Verdana"/>
          <w:sz w:val="20"/>
          <w:szCs w:val="20"/>
        </w:rPr>
        <w:t xml:space="preserve"> n. 35, conv</w:t>
      </w:r>
      <w:r w:rsidR="00663538" w:rsidRPr="00D10601">
        <w:rPr>
          <w:rFonts w:ascii="Verdana" w:hAnsi="Verdana"/>
          <w:sz w:val="20"/>
          <w:szCs w:val="20"/>
        </w:rPr>
        <w:t xml:space="preserve">ertito dalla </w:t>
      </w:r>
      <w:r w:rsidRPr="00D10601">
        <w:rPr>
          <w:rFonts w:ascii="Verdana" w:hAnsi="Verdana"/>
          <w:sz w:val="20"/>
          <w:szCs w:val="20"/>
        </w:rPr>
        <w:t>l.</w:t>
      </w:r>
      <w:r w:rsidR="00663538" w:rsidRPr="00D10601">
        <w:rPr>
          <w:rFonts w:ascii="Verdana" w:hAnsi="Verdana"/>
          <w:sz w:val="20"/>
          <w:szCs w:val="20"/>
        </w:rPr>
        <w:t xml:space="preserve"> </w:t>
      </w:r>
      <w:r w:rsidRPr="00D10601">
        <w:rPr>
          <w:rFonts w:ascii="Verdana" w:hAnsi="Verdana"/>
          <w:sz w:val="20"/>
          <w:szCs w:val="20"/>
        </w:rPr>
        <w:t xml:space="preserve">6 giugno 2013, n. 64, </w:t>
      </w:r>
      <w:r w:rsidR="00BE32E7" w:rsidRPr="00D10601">
        <w:rPr>
          <w:rFonts w:ascii="Verdana" w:hAnsi="Verdana"/>
          <w:sz w:val="20"/>
          <w:szCs w:val="20"/>
        </w:rPr>
        <w:t>secondo cui, “il  divieto  di acquistare immobili a titolo oneroso, di cui all’art.  12,  comma 1-</w:t>
      </w:r>
      <w:r w:rsidR="00BE32E7" w:rsidRPr="00D10601">
        <w:rPr>
          <w:rFonts w:ascii="Verdana" w:hAnsi="Verdana"/>
          <w:i/>
          <w:sz w:val="20"/>
          <w:szCs w:val="20"/>
        </w:rPr>
        <w:t>quater</w:t>
      </w:r>
      <w:r w:rsidR="00BE32E7" w:rsidRPr="00D10601">
        <w:rPr>
          <w:rFonts w:ascii="Verdana" w:hAnsi="Verdana"/>
          <w:sz w:val="20"/>
          <w:szCs w:val="20"/>
        </w:rPr>
        <w:t xml:space="preserve">, del </w:t>
      </w:r>
      <w:proofErr w:type="spellStart"/>
      <w:r w:rsidR="00BE32E7" w:rsidRPr="00D10601">
        <w:rPr>
          <w:rFonts w:ascii="Verdana" w:hAnsi="Verdana"/>
          <w:sz w:val="20"/>
          <w:szCs w:val="20"/>
        </w:rPr>
        <w:t>d.l.</w:t>
      </w:r>
      <w:proofErr w:type="spellEnd"/>
      <w:r w:rsidR="00BE32E7" w:rsidRPr="00D10601">
        <w:rPr>
          <w:rFonts w:ascii="Verdana" w:hAnsi="Verdana"/>
          <w:sz w:val="20"/>
          <w:szCs w:val="20"/>
        </w:rPr>
        <w:t xml:space="preserve"> 6 luglio 2011,  n.  98,  convertito,  con modificazioni, dalla l. 15 luglio 2011, n.  111,  non  si  applica […] alle permute  a  parità  di  prezzo”, atteso che tali operazioni – pur dando luogo ad alienazioni di beni </w:t>
      </w:r>
      <w:r w:rsidR="00D10601">
        <w:rPr>
          <w:rFonts w:ascii="Verdana" w:hAnsi="Verdana"/>
          <w:sz w:val="20"/>
          <w:szCs w:val="20"/>
        </w:rPr>
        <w:t xml:space="preserve">sotto forma di “reciproco trasferimento della proprietà […] da un contraente all’altro” (art. 1552 cod. civ.) </w:t>
      </w:r>
      <w:r w:rsidR="00BE32E7" w:rsidRPr="00D10601">
        <w:rPr>
          <w:rFonts w:ascii="Verdana" w:hAnsi="Verdana"/>
          <w:sz w:val="20"/>
          <w:szCs w:val="20"/>
        </w:rPr>
        <w:t xml:space="preserve">– </w:t>
      </w:r>
      <w:r w:rsidRPr="00D10601">
        <w:rPr>
          <w:rFonts w:ascii="Verdana" w:hAnsi="Verdana"/>
          <w:sz w:val="20"/>
          <w:szCs w:val="20"/>
        </w:rPr>
        <w:t xml:space="preserve">non </w:t>
      </w:r>
      <w:r w:rsidR="005D146A">
        <w:rPr>
          <w:rFonts w:ascii="Verdana" w:hAnsi="Verdana"/>
          <w:sz w:val="20"/>
          <w:szCs w:val="20"/>
        </w:rPr>
        <w:t xml:space="preserve">incrementano né </w:t>
      </w:r>
      <w:r w:rsidRPr="00D10601">
        <w:rPr>
          <w:rFonts w:ascii="Verdana" w:hAnsi="Verdana"/>
          <w:sz w:val="20"/>
          <w:szCs w:val="20"/>
        </w:rPr>
        <w:t>intacca</w:t>
      </w:r>
      <w:r w:rsidR="00BE32E7" w:rsidRPr="00D10601">
        <w:rPr>
          <w:rFonts w:ascii="Verdana" w:hAnsi="Verdana"/>
          <w:sz w:val="20"/>
          <w:szCs w:val="20"/>
        </w:rPr>
        <w:t>no</w:t>
      </w:r>
      <w:r w:rsidRPr="00D10601">
        <w:rPr>
          <w:rFonts w:ascii="Verdana" w:hAnsi="Verdana"/>
          <w:sz w:val="20"/>
          <w:szCs w:val="20"/>
        </w:rPr>
        <w:t xml:space="preserve"> il patrimonio dell’ente, inteso nella sua globalità.</w:t>
      </w:r>
      <w:r w:rsidR="00D10601">
        <w:rPr>
          <w:rFonts w:ascii="Verdana" w:hAnsi="Verdana"/>
          <w:sz w:val="20"/>
          <w:szCs w:val="20"/>
        </w:rPr>
        <w:t xml:space="preserve"> </w:t>
      </w:r>
    </w:p>
    <w:p w:rsidR="00E176F8" w:rsidRPr="00073901" w:rsidRDefault="00E176F8" w:rsidP="009F170B">
      <w:pPr>
        <w:spacing w:after="120"/>
        <w:rPr>
          <w:rFonts w:ascii="Verdana" w:hAnsi="Verdana"/>
          <w:sz w:val="20"/>
          <w:szCs w:val="20"/>
        </w:rPr>
      </w:pPr>
      <w:r w:rsidRPr="00D10601">
        <w:rPr>
          <w:rFonts w:ascii="Verdana" w:hAnsi="Verdana"/>
          <w:sz w:val="20"/>
          <w:szCs w:val="20"/>
        </w:rPr>
        <w:t>Ciò significa che la situazione prospettata dal Comune di Villa Co</w:t>
      </w:r>
      <w:r>
        <w:rPr>
          <w:rFonts w:ascii="Verdana" w:hAnsi="Verdana"/>
          <w:sz w:val="20"/>
          <w:szCs w:val="20"/>
        </w:rPr>
        <w:t>llemandina</w:t>
      </w:r>
      <w:r w:rsidR="005D146A" w:rsidRPr="00D10601">
        <w:rPr>
          <w:rFonts w:ascii="Verdana" w:hAnsi="Verdana"/>
          <w:sz w:val="20"/>
          <w:szCs w:val="20"/>
        </w:rPr>
        <w:t xml:space="preserve"> </w:t>
      </w:r>
      <w:r w:rsidR="005D146A">
        <w:rPr>
          <w:rFonts w:ascii="Verdana" w:hAnsi="Verdana"/>
          <w:sz w:val="20"/>
          <w:szCs w:val="20"/>
        </w:rPr>
        <w:t xml:space="preserve">– </w:t>
      </w:r>
      <w:r w:rsidR="005D146A" w:rsidRPr="00D10601">
        <w:rPr>
          <w:rFonts w:ascii="Verdana" w:hAnsi="Verdana"/>
          <w:sz w:val="20"/>
          <w:szCs w:val="20"/>
        </w:rPr>
        <w:t>pur se in astratto</w:t>
      </w:r>
      <w:r>
        <w:rPr>
          <w:rFonts w:ascii="Verdana" w:hAnsi="Verdana"/>
          <w:sz w:val="20"/>
          <w:szCs w:val="20"/>
        </w:rPr>
        <w:t xml:space="preserve"> risulta riconducibile a una compravendita e, pertanto, al tipo contrattuale che si caratterizza per lo scambio di cosa contro prezzo</w:t>
      </w:r>
      <w:r w:rsidR="005D146A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non</w:t>
      </w:r>
      <w:r w:rsidR="005D146A">
        <w:rPr>
          <w:rFonts w:ascii="Verdana" w:hAnsi="Verdana"/>
          <w:sz w:val="20"/>
          <w:szCs w:val="20"/>
        </w:rPr>
        <w:t xml:space="preserve"> configura </w:t>
      </w:r>
      <w:r>
        <w:rPr>
          <w:rFonts w:ascii="Verdana" w:hAnsi="Verdana"/>
          <w:sz w:val="20"/>
          <w:szCs w:val="20"/>
        </w:rPr>
        <w:t xml:space="preserve">alcun </w:t>
      </w:r>
      <w:r w:rsidR="005D146A">
        <w:rPr>
          <w:rFonts w:ascii="Verdana" w:hAnsi="Verdana"/>
          <w:sz w:val="20"/>
          <w:szCs w:val="20"/>
        </w:rPr>
        <w:t xml:space="preserve">onere a carico </w:t>
      </w:r>
      <w:r>
        <w:rPr>
          <w:rFonts w:ascii="Verdana" w:hAnsi="Verdana"/>
          <w:sz w:val="20"/>
          <w:szCs w:val="20"/>
        </w:rPr>
        <w:t xml:space="preserve">dell’amministrazione locale e, pertanto, non </w:t>
      </w:r>
      <w:r w:rsidR="00663538">
        <w:rPr>
          <w:rFonts w:ascii="Verdana" w:hAnsi="Verdana"/>
          <w:sz w:val="20"/>
          <w:szCs w:val="20"/>
        </w:rPr>
        <w:t xml:space="preserve">incorre </w:t>
      </w:r>
      <w:r>
        <w:rPr>
          <w:rFonts w:ascii="Verdana" w:hAnsi="Verdana"/>
          <w:sz w:val="20"/>
          <w:szCs w:val="20"/>
        </w:rPr>
        <w:t>ne</w:t>
      </w:r>
      <w:r w:rsidR="00663538">
        <w:rPr>
          <w:rFonts w:ascii="Verdana" w:hAnsi="Verdana"/>
          <w:sz w:val="20"/>
          <w:szCs w:val="20"/>
        </w:rPr>
        <w:t xml:space="preserve">l divieto </w:t>
      </w:r>
      <w:r>
        <w:rPr>
          <w:rFonts w:ascii="Verdana" w:hAnsi="Verdana"/>
          <w:sz w:val="20"/>
          <w:szCs w:val="20"/>
        </w:rPr>
        <w:t>di cui all’art. 12, comma 1</w:t>
      </w:r>
      <w:r w:rsidR="00663538">
        <w:rPr>
          <w:rFonts w:ascii="Verdana" w:hAnsi="Verdana"/>
          <w:sz w:val="20"/>
          <w:szCs w:val="20"/>
        </w:rPr>
        <w:t>-</w:t>
      </w:r>
      <w:r w:rsidRPr="00663538">
        <w:rPr>
          <w:rFonts w:ascii="Verdana" w:hAnsi="Verdana"/>
          <w:i/>
          <w:sz w:val="20"/>
          <w:szCs w:val="20"/>
        </w:rPr>
        <w:t>quater</w:t>
      </w:r>
      <w:r w:rsidR="0066353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citato.</w:t>
      </w:r>
      <w:r w:rsidR="005D14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Per il Comune, infatti, l’utilizzo di fondi erogati da un soggetto terzo, </w:t>
      </w:r>
      <w:r w:rsidR="005D146A">
        <w:rPr>
          <w:rFonts w:ascii="Verdana" w:hAnsi="Verdana"/>
          <w:sz w:val="20"/>
          <w:szCs w:val="20"/>
        </w:rPr>
        <w:t xml:space="preserve">espressamente </w:t>
      </w:r>
      <w:r>
        <w:rPr>
          <w:rFonts w:ascii="Verdana" w:hAnsi="Verdana"/>
          <w:sz w:val="20"/>
          <w:szCs w:val="20"/>
        </w:rPr>
        <w:t xml:space="preserve">vincolati all’acquisizione di uno specifico bene in vista della realizzazione di uno scopo </w:t>
      </w:r>
      <w:r w:rsidR="005D146A">
        <w:rPr>
          <w:rFonts w:ascii="Verdana" w:hAnsi="Verdana"/>
          <w:sz w:val="20"/>
          <w:szCs w:val="20"/>
        </w:rPr>
        <w:t>precisamente definito</w:t>
      </w:r>
      <w:r>
        <w:rPr>
          <w:rFonts w:ascii="Verdana" w:hAnsi="Verdana"/>
          <w:sz w:val="20"/>
          <w:szCs w:val="20"/>
        </w:rPr>
        <w:t xml:space="preserve">, fa sì che non </w:t>
      </w:r>
      <w:r w:rsidR="005D146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i </w:t>
      </w:r>
      <w:r w:rsidR="005D146A">
        <w:rPr>
          <w:rFonts w:ascii="Verdana" w:hAnsi="Verdana"/>
          <w:sz w:val="20"/>
          <w:szCs w:val="20"/>
        </w:rPr>
        <w:t xml:space="preserve">determini alcun </w:t>
      </w:r>
      <w:r>
        <w:rPr>
          <w:rFonts w:ascii="Verdana" w:hAnsi="Verdana"/>
          <w:sz w:val="20"/>
          <w:szCs w:val="20"/>
        </w:rPr>
        <w:t>impiego di risorse provenient</w:t>
      </w:r>
      <w:r w:rsidR="005D146A">
        <w:rPr>
          <w:rFonts w:ascii="Verdana" w:hAnsi="Verdana"/>
          <w:sz w:val="20"/>
          <w:szCs w:val="20"/>
        </w:rPr>
        <w:t>i</w:t>
      </w:r>
      <w:r w:rsidRPr="00073901">
        <w:rPr>
          <w:rFonts w:ascii="Verdana" w:hAnsi="Verdana"/>
          <w:sz w:val="20"/>
          <w:szCs w:val="20"/>
        </w:rPr>
        <w:t xml:space="preserve"> dall’ente</w:t>
      </w:r>
      <w:r w:rsidR="005D146A">
        <w:rPr>
          <w:rFonts w:ascii="Verdana" w:hAnsi="Verdana"/>
          <w:sz w:val="20"/>
          <w:szCs w:val="20"/>
        </w:rPr>
        <w:t xml:space="preserve"> e che esso potrebbe destinare, in ipotesi, ad altre finalità</w:t>
      </w:r>
      <w:r w:rsidRPr="00073901">
        <w:rPr>
          <w:rFonts w:ascii="Verdana" w:hAnsi="Verdana"/>
          <w:sz w:val="20"/>
          <w:szCs w:val="20"/>
        </w:rPr>
        <w:t>.</w:t>
      </w:r>
    </w:p>
    <w:p w:rsidR="00E176F8" w:rsidRDefault="00E176F8" w:rsidP="009F170B">
      <w:pPr>
        <w:spacing w:after="120"/>
        <w:rPr>
          <w:rFonts w:ascii="Verdana" w:hAnsi="Verdana"/>
          <w:sz w:val="20"/>
          <w:szCs w:val="20"/>
        </w:rPr>
      </w:pPr>
      <w:r w:rsidRPr="00073901">
        <w:rPr>
          <w:rFonts w:ascii="Verdana" w:hAnsi="Verdana"/>
          <w:sz w:val="20"/>
          <w:szCs w:val="20"/>
        </w:rPr>
        <w:t>A tal proposito</w:t>
      </w:r>
      <w:r w:rsidR="00C82AD7">
        <w:rPr>
          <w:rFonts w:ascii="Verdana" w:hAnsi="Verdana"/>
          <w:sz w:val="20"/>
          <w:szCs w:val="20"/>
        </w:rPr>
        <w:t>,</w:t>
      </w:r>
      <w:r w:rsidRPr="00073901">
        <w:rPr>
          <w:rFonts w:ascii="Verdana" w:hAnsi="Verdana"/>
          <w:sz w:val="20"/>
          <w:szCs w:val="20"/>
        </w:rPr>
        <w:t xml:space="preserve"> sia questa Sezione (</w:t>
      </w:r>
      <w:proofErr w:type="spellStart"/>
      <w:r w:rsidRPr="00073901">
        <w:rPr>
          <w:rFonts w:ascii="Verdana" w:hAnsi="Verdana"/>
          <w:sz w:val="20"/>
          <w:szCs w:val="20"/>
        </w:rPr>
        <w:t>delib</w:t>
      </w:r>
      <w:proofErr w:type="spellEnd"/>
      <w:r w:rsidR="00663538" w:rsidRPr="00073901">
        <w:rPr>
          <w:rFonts w:ascii="Verdana" w:hAnsi="Verdana"/>
          <w:sz w:val="20"/>
          <w:szCs w:val="20"/>
        </w:rPr>
        <w:t xml:space="preserve">. </w:t>
      </w:r>
      <w:proofErr w:type="spellStart"/>
      <w:r w:rsidRPr="00073901">
        <w:rPr>
          <w:rFonts w:ascii="Verdana" w:hAnsi="Verdana"/>
          <w:sz w:val="20"/>
          <w:szCs w:val="20"/>
        </w:rPr>
        <w:t>nn</w:t>
      </w:r>
      <w:proofErr w:type="spellEnd"/>
      <w:r w:rsidRPr="00073901">
        <w:rPr>
          <w:rFonts w:ascii="Verdana" w:hAnsi="Verdana"/>
          <w:sz w:val="20"/>
          <w:szCs w:val="20"/>
        </w:rPr>
        <w:t>. 9/2011 e 177/2012)</w:t>
      </w:r>
      <w:r w:rsidR="00C82AD7">
        <w:rPr>
          <w:rFonts w:ascii="Verdana" w:hAnsi="Verdana"/>
          <w:sz w:val="20"/>
          <w:szCs w:val="20"/>
        </w:rPr>
        <w:t xml:space="preserve"> e</w:t>
      </w:r>
      <w:r w:rsidR="00663538" w:rsidRPr="00073901">
        <w:rPr>
          <w:rFonts w:ascii="Verdana" w:hAnsi="Verdana"/>
          <w:sz w:val="20"/>
          <w:szCs w:val="20"/>
        </w:rPr>
        <w:t xml:space="preserve"> </w:t>
      </w:r>
      <w:r w:rsidRPr="00073901">
        <w:rPr>
          <w:rFonts w:ascii="Verdana" w:hAnsi="Verdana"/>
          <w:sz w:val="20"/>
          <w:szCs w:val="20"/>
        </w:rPr>
        <w:t>la Sezione della autonomie (</w:t>
      </w:r>
      <w:r w:rsidR="00073901" w:rsidRPr="00073901">
        <w:rPr>
          <w:rFonts w:ascii="Verdana" w:hAnsi="Verdana"/>
          <w:sz w:val="20"/>
          <w:szCs w:val="20"/>
        </w:rPr>
        <w:t>da ultimo, del. 3 ottobre 2014, n. 21</w:t>
      </w:r>
      <w:r w:rsidRPr="00073901">
        <w:rPr>
          <w:rFonts w:ascii="Verdana" w:hAnsi="Verdana"/>
          <w:sz w:val="20"/>
          <w:szCs w:val="20"/>
        </w:rPr>
        <w:t>)</w:t>
      </w:r>
      <w:r w:rsidR="00073901" w:rsidRPr="00073901">
        <w:rPr>
          <w:rFonts w:ascii="Verdana" w:hAnsi="Verdana"/>
          <w:sz w:val="20"/>
          <w:szCs w:val="20"/>
        </w:rPr>
        <w:t>,</w:t>
      </w:r>
      <w:r w:rsidRPr="00073901">
        <w:rPr>
          <w:rFonts w:ascii="Verdana" w:hAnsi="Verdana"/>
          <w:sz w:val="20"/>
          <w:szCs w:val="20"/>
        </w:rPr>
        <w:t xml:space="preserve"> in tema di limiti alla spesa di personale</w:t>
      </w:r>
      <w:r w:rsidR="00073901" w:rsidRPr="00073901">
        <w:rPr>
          <w:rFonts w:ascii="Verdana" w:hAnsi="Verdana"/>
          <w:sz w:val="20"/>
          <w:szCs w:val="20"/>
        </w:rPr>
        <w:t xml:space="preserve">, </w:t>
      </w:r>
      <w:r w:rsidR="00073901">
        <w:rPr>
          <w:rFonts w:ascii="Verdana" w:hAnsi="Verdana"/>
          <w:sz w:val="20"/>
          <w:szCs w:val="20"/>
        </w:rPr>
        <w:t>s</w:t>
      </w:r>
      <w:r w:rsidR="00663538" w:rsidRPr="00073901">
        <w:rPr>
          <w:rFonts w:ascii="Verdana" w:hAnsi="Verdana"/>
          <w:sz w:val="20"/>
          <w:szCs w:val="20"/>
        </w:rPr>
        <w:t xml:space="preserve">ia </w:t>
      </w:r>
      <w:r w:rsidRPr="00073901">
        <w:rPr>
          <w:rFonts w:ascii="Verdana" w:hAnsi="Verdana"/>
          <w:sz w:val="20"/>
          <w:szCs w:val="20"/>
        </w:rPr>
        <w:t xml:space="preserve">le Sezioni </w:t>
      </w:r>
      <w:r w:rsidR="00663538" w:rsidRPr="00073901">
        <w:rPr>
          <w:rFonts w:ascii="Verdana" w:hAnsi="Verdana"/>
          <w:sz w:val="20"/>
          <w:szCs w:val="20"/>
        </w:rPr>
        <w:t>r</w:t>
      </w:r>
      <w:r w:rsidRPr="00073901">
        <w:rPr>
          <w:rFonts w:ascii="Verdana" w:hAnsi="Verdana"/>
          <w:sz w:val="20"/>
          <w:szCs w:val="20"/>
        </w:rPr>
        <w:t>iunite della Corte dei conti (</w:t>
      </w:r>
      <w:proofErr w:type="spellStart"/>
      <w:r w:rsidRPr="00073901">
        <w:rPr>
          <w:rFonts w:ascii="Verdana" w:hAnsi="Verdana"/>
          <w:sz w:val="20"/>
          <w:szCs w:val="20"/>
        </w:rPr>
        <w:t>del</w:t>
      </w:r>
      <w:r>
        <w:rPr>
          <w:rFonts w:ascii="Verdana" w:hAnsi="Verdana"/>
          <w:sz w:val="20"/>
          <w:szCs w:val="20"/>
        </w:rPr>
        <w:t>ib</w:t>
      </w:r>
      <w:proofErr w:type="spellEnd"/>
      <w:r w:rsidR="00663538">
        <w:rPr>
          <w:rFonts w:ascii="Verdana" w:hAnsi="Verdana"/>
          <w:sz w:val="20"/>
          <w:szCs w:val="20"/>
        </w:rPr>
        <w:t>. in sede nomofilattica</w:t>
      </w:r>
      <w:r>
        <w:rPr>
          <w:rFonts w:ascii="Verdana" w:hAnsi="Verdana"/>
          <w:sz w:val="20"/>
          <w:szCs w:val="20"/>
        </w:rPr>
        <w:t xml:space="preserve"> n. 7/2011)</w:t>
      </w:r>
      <w:r w:rsidR="00073901">
        <w:rPr>
          <w:rFonts w:ascii="Verdana" w:hAnsi="Verdana"/>
          <w:sz w:val="20"/>
          <w:szCs w:val="20"/>
        </w:rPr>
        <w:t xml:space="preserve">, </w:t>
      </w:r>
      <w:r w:rsidR="00BE32E7">
        <w:rPr>
          <w:rFonts w:ascii="Verdana" w:hAnsi="Verdana"/>
          <w:sz w:val="20"/>
          <w:szCs w:val="20"/>
        </w:rPr>
        <w:t>han</w:t>
      </w:r>
      <w:r>
        <w:rPr>
          <w:rFonts w:ascii="Verdana" w:hAnsi="Verdana"/>
          <w:sz w:val="20"/>
          <w:szCs w:val="20"/>
        </w:rPr>
        <w:t xml:space="preserve">no più volte espresso il principio in base al quale </w:t>
      </w:r>
      <w:r w:rsidR="00663538">
        <w:rPr>
          <w:rFonts w:ascii="Verdana" w:hAnsi="Verdana"/>
          <w:sz w:val="20"/>
          <w:szCs w:val="20"/>
        </w:rPr>
        <w:t xml:space="preserve">le disposizioni di legge che impongono limitazioni alla spesa degli enti locali non si applicano alle spese degli enti che non siano </w:t>
      </w:r>
      <w:r>
        <w:rPr>
          <w:rFonts w:ascii="Verdana" w:hAnsi="Verdana"/>
          <w:sz w:val="20"/>
          <w:szCs w:val="20"/>
        </w:rPr>
        <w:t>finanziat</w:t>
      </w:r>
      <w:r w:rsidR="00663538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a </w:t>
      </w:r>
      <w:r w:rsidR="00663538">
        <w:rPr>
          <w:rFonts w:ascii="Verdana" w:hAnsi="Verdana"/>
          <w:sz w:val="20"/>
          <w:szCs w:val="20"/>
        </w:rPr>
        <w:t>carico dei loro bilanci, ma</w:t>
      </w:r>
      <w:r w:rsidR="00BE32E7">
        <w:rPr>
          <w:rFonts w:ascii="Verdana" w:hAnsi="Verdana"/>
          <w:sz w:val="20"/>
          <w:szCs w:val="20"/>
        </w:rPr>
        <w:t xml:space="preserve"> che siano </w:t>
      </w:r>
      <w:r w:rsidR="00073901">
        <w:rPr>
          <w:rFonts w:ascii="Verdana" w:hAnsi="Verdana"/>
          <w:sz w:val="20"/>
          <w:szCs w:val="20"/>
        </w:rPr>
        <w:lastRenderedPageBreak/>
        <w:t xml:space="preserve">interamente </w:t>
      </w:r>
      <w:r w:rsidR="00BE32E7">
        <w:rPr>
          <w:rFonts w:ascii="Verdana" w:hAnsi="Verdana"/>
          <w:sz w:val="20"/>
          <w:szCs w:val="20"/>
        </w:rPr>
        <w:t>a carico</w:t>
      </w:r>
      <w:r w:rsidR="00663538">
        <w:rPr>
          <w:rFonts w:ascii="Verdana" w:hAnsi="Verdana"/>
          <w:sz w:val="20"/>
          <w:szCs w:val="20"/>
        </w:rPr>
        <w:t xml:space="preserve">, ad esempio, di </w:t>
      </w:r>
      <w:r>
        <w:rPr>
          <w:rFonts w:ascii="Verdana" w:hAnsi="Verdana"/>
          <w:sz w:val="20"/>
          <w:szCs w:val="20"/>
        </w:rPr>
        <w:t>fondi comunitari o</w:t>
      </w:r>
      <w:r w:rsidR="00663538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come nel caso di specie</w:t>
      </w:r>
      <w:r w:rsidR="00663538">
        <w:rPr>
          <w:rFonts w:ascii="Verdana" w:hAnsi="Verdana"/>
          <w:sz w:val="20"/>
          <w:szCs w:val="20"/>
        </w:rPr>
        <w:t xml:space="preserve">, di privati. </w:t>
      </w:r>
    </w:p>
    <w:p w:rsidR="00E176F8" w:rsidRDefault="00E176F8" w:rsidP="00BE7FD4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 * *</w:t>
      </w:r>
    </w:p>
    <w:p w:rsidR="00BE32E7" w:rsidRDefault="00BE32E7" w:rsidP="00073901">
      <w:pPr>
        <w:spacing w:after="120"/>
        <w:ind w:firstLine="0"/>
        <w:rPr>
          <w:rFonts w:ascii="Verdana" w:hAnsi="Verdana"/>
          <w:sz w:val="20"/>
          <w:szCs w:val="20"/>
        </w:rPr>
      </w:pPr>
    </w:p>
    <w:p w:rsidR="00E176F8" w:rsidRDefault="00E176F8" w:rsidP="009F170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Nelle considerazioni esposte è il parere della Corte dei conti-Sezione </w:t>
      </w:r>
      <w:r w:rsidR="00663538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egionale di controllo per la Toscana</w:t>
      </w:r>
      <w:r w:rsidR="0066353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 relazione alla richiesta formulata dal </w:t>
      </w:r>
      <w:r w:rsidRPr="00CC114C">
        <w:rPr>
          <w:rFonts w:ascii="Verdana" w:hAnsi="Verdana"/>
          <w:sz w:val="20"/>
          <w:szCs w:val="20"/>
        </w:rPr>
        <w:t>Sindaco del Comune di Villa Collemandina,</w:t>
      </w:r>
      <w:r>
        <w:rPr>
          <w:rFonts w:ascii="Verdana" w:hAnsi="Verdana"/>
          <w:sz w:val="20"/>
          <w:szCs w:val="20"/>
        </w:rPr>
        <w:t xml:space="preserve"> inoltrata dal Consiglio delle autonomie l</w:t>
      </w:r>
      <w:r w:rsidRPr="00CC114C">
        <w:rPr>
          <w:rFonts w:ascii="Verdana" w:hAnsi="Verdana"/>
          <w:sz w:val="20"/>
          <w:szCs w:val="20"/>
        </w:rPr>
        <w:t xml:space="preserve">ocali con nota </w:t>
      </w:r>
      <w:r>
        <w:rPr>
          <w:rFonts w:ascii="Verdana" w:hAnsi="Verdana"/>
          <w:sz w:val="20"/>
          <w:szCs w:val="20"/>
        </w:rPr>
        <w:t>29 luglio 2014</w:t>
      </w:r>
      <w:r w:rsidR="00663538">
        <w:rPr>
          <w:rFonts w:ascii="Verdana" w:hAnsi="Verdana"/>
          <w:sz w:val="20"/>
          <w:szCs w:val="20"/>
        </w:rPr>
        <w:t>,</w:t>
      </w:r>
      <w:r w:rsidR="00663538" w:rsidRPr="00663538">
        <w:rPr>
          <w:rFonts w:ascii="Verdana" w:hAnsi="Verdana"/>
          <w:sz w:val="20"/>
          <w:szCs w:val="20"/>
        </w:rPr>
        <w:t xml:space="preserve"> </w:t>
      </w:r>
      <w:proofErr w:type="spellStart"/>
      <w:r w:rsidR="00663538" w:rsidRPr="00CC114C">
        <w:rPr>
          <w:rFonts w:ascii="Verdana" w:hAnsi="Verdana"/>
          <w:sz w:val="20"/>
          <w:szCs w:val="20"/>
        </w:rPr>
        <w:t>p</w:t>
      </w:r>
      <w:r w:rsidR="00663538">
        <w:rPr>
          <w:rFonts w:ascii="Verdana" w:hAnsi="Verdana"/>
          <w:sz w:val="20"/>
          <w:szCs w:val="20"/>
        </w:rPr>
        <w:t>rot</w:t>
      </w:r>
      <w:proofErr w:type="spellEnd"/>
      <w:r w:rsidR="00663538">
        <w:rPr>
          <w:rFonts w:ascii="Verdana" w:hAnsi="Verdana"/>
          <w:sz w:val="20"/>
          <w:szCs w:val="20"/>
        </w:rPr>
        <w:t>. n. 13986</w:t>
      </w:r>
      <w:r w:rsidR="00663538" w:rsidRPr="00CC114C">
        <w:rPr>
          <w:rFonts w:ascii="Verdana" w:hAnsi="Verdana"/>
          <w:sz w:val="20"/>
          <w:szCs w:val="20"/>
        </w:rPr>
        <w:t>/1.13.9</w:t>
      </w:r>
      <w:r w:rsidR="00663538">
        <w:rPr>
          <w:rFonts w:ascii="Verdana" w:hAnsi="Verdana"/>
          <w:sz w:val="20"/>
          <w:szCs w:val="20"/>
        </w:rPr>
        <w:t xml:space="preserve">. </w:t>
      </w:r>
    </w:p>
    <w:p w:rsidR="00E176F8" w:rsidRDefault="00E176F8" w:rsidP="009F170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della presente deliberazione sarà trasmessa al Presidente del Consiglio delle autonomie locali della Regione Toscana, al Sindaco del Comune di Villa Collemandina e al Presidente del relativo Consiglio, nonché al Presidente della Sezione delle autonomie della Corte dei conti.</w:t>
      </w:r>
    </w:p>
    <w:p w:rsidR="00E176F8" w:rsidRDefault="00E176F8" w:rsidP="009F170B">
      <w:pPr>
        <w:spacing w:after="120"/>
        <w:rPr>
          <w:rFonts w:ascii="Verdana" w:hAnsi="Verdana"/>
          <w:sz w:val="20"/>
          <w:szCs w:val="20"/>
        </w:rPr>
      </w:pPr>
    </w:p>
    <w:p w:rsidR="00E176F8" w:rsidRDefault="00E176F8" w:rsidP="00BE7FD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Firenze, li</w:t>
      </w:r>
      <w:r w:rsidR="005D146A">
        <w:rPr>
          <w:rFonts w:ascii="Verdana" w:hAnsi="Verdana"/>
          <w:sz w:val="20"/>
          <w:szCs w:val="20"/>
        </w:rPr>
        <w:t xml:space="preserve"> 17 dicembre 2014.</w:t>
      </w:r>
    </w:p>
    <w:p w:rsidR="00E176F8" w:rsidRDefault="00E176F8" w:rsidP="00BE7FD4">
      <w:pPr>
        <w:rPr>
          <w:rFonts w:ascii="Verdana" w:hAnsi="Verdana"/>
          <w:sz w:val="20"/>
          <w:szCs w:val="20"/>
        </w:rPr>
      </w:pPr>
    </w:p>
    <w:p w:rsidR="00E176F8" w:rsidRDefault="00E176F8" w:rsidP="00BE7FD4">
      <w:pPr>
        <w:rPr>
          <w:rFonts w:ascii="Verdana" w:hAnsi="Verdana"/>
          <w:sz w:val="20"/>
          <w:szCs w:val="20"/>
        </w:rPr>
      </w:pPr>
    </w:p>
    <w:p w:rsidR="00E176F8" w:rsidRDefault="00E176F8" w:rsidP="009F170B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Il relatore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D10601">
        <w:rPr>
          <w:rFonts w:ascii="Verdana" w:hAnsi="Verdana"/>
          <w:sz w:val="20"/>
          <w:szCs w:val="20"/>
        </w:rPr>
        <w:t xml:space="preserve">    </w:t>
      </w:r>
      <w:r>
        <w:rPr>
          <w:rFonts w:ascii="Verdana" w:hAnsi="Verdana"/>
          <w:sz w:val="20"/>
          <w:szCs w:val="20"/>
        </w:rPr>
        <w:t>Il presidente</w:t>
      </w:r>
    </w:p>
    <w:p w:rsidR="00E176F8" w:rsidRDefault="00D63AFF" w:rsidP="009F170B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f.to</w:t>
      </w:r>
      <w:r w:rsidR="00E176F8">
        <w:rPr>
          <w:rFonts w:ascii="Verdana" w:hAnsi="Verdana"/>
          <w:sz w:val="20"/>
          <w:szCs w:val="20"/>
        </w:rPr>
        <w:t xml:space="preserve"> Paolo </w:t>
      </w:r>
      <w:proofErr w:type="spellStart"/>
      <w:r w:rsidR="00E176F8">
        <w:rPr>
          <w:rFonts w:ascii="Verdana" w:hAnsi="Verdana"/>
          <w:sz w:val="20"/>
          <w:szCs w:val="20"/>
        </w:rPr>
        <w:t>Peluffo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E176F8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   f.to</w:t>
      </w:r>
      <w:r w:rsidR="00E176F8">
        <w:rPr>
          <w:rFonts w:ascii="Verdana" w:hAnsi="Verdana"/>
          <w:sz w:val="20"/>
          <w:szCs w:val="20"/>
        </w:rPr>
        <w:t xml:space="preserve"> Gaetano D’Auria</w:t>
      </w:r>
    </w:p>
    <w:p w:rsidR="00E176F8" w:rsidRDefault="00E176F8" w:rsidP="009F170B">
      <w:pPr>
        <w:spacing w:line="240" w:lineRule="auto"/>
        <w:rPr>
          <w:rFonts w:ascii="Verdana" w:hAnsi="Verdana"/>
          <w:sz w:val="20"/>
          <w:szCs w:val="20"/>
        </w:rPr>
      </w:pPr>
    </w:p>
    <w:p w:rsidR="00E176F8" w:rsidRDefault="00E176F8" w:rsidP="009F170B">
      <w:pPr>
        <w:spacing w:line="240" w:lineRule="auto"/>
        <w:rPr>
          <w:rFonts w:ascii="Verdana" w:hAnsi="Verdana"/>
          <w:sz w:val="20"/>
          <w:szCs w:val="20"/>
        </w:rPr>
      </w:pPr>
    </w:p>
    <w:p w:rsidR="00E176F8" w:rsidRDefault="00E176F8" w:rsidP="00BE7FD4">
      <w:pPr>
        <w:rPr>
          <w:rFonts w:ascii="Verdana" w:hAnsi="Verdana"/>
          <w:sz w:val="20"/>
          <w:szCs w:val="20"/>
        </w:rPr>
      </w:pPr>
    </w:p>
    <w:p w:rsidR="00E176F8" w:rsidRDefault="00E176F8" w:rsidP="00BE7FD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Depositata in Segreteria il </w:t>
      </w:r>
      <w:r w:rsidR="00D63AFF">
        <w:rPr>
          <w:rFonts w:ascii="Verdana" w:hAnsi="Verdana"/>
          <w:sz w:val="20"/>
          <w:szCs w:val="20"/>
        </w:rPr>
        <w:t>7 gennaio 2015</w:t>
      </w:r>
    </w:p>
    <w:p w:rsidR="00E176F8" w:rsidRDefault="00E176F8" w:rsidP="009F170B">
      <w:pPr>
        <w:spacing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>Il funzionario preposto al Servizio di supporto</w:t>
      </w:r>
    </w:p>
    <w:p w:rsidR="00E176F8" w:rsidRDefault="00E176F8" w:rsidP="009F170B">
      <w:pPr>
        <w:spacing w:line="240" w:lineRule="auto"/>
        <w:ind w:left="70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D63AFF">
        <w:rPr>
          <w:rFonts w:ascii="Verdana" w:hAnsi="Verdana"/>
          <w:sz w:val="20"/>
          <w:szCs w:val="20"/>
        </w:rPr>
        <w:t>f.to</w:t>
      </w:r>
      <w:r>
        <w:rPr>
          <w:rFonts w:ascii="Verdana" w:hAnsi="Verdana"/>
          <w:sz w:val="20"/>
          <w:szCs w:val="20"/>
        </w:rPr>
        <w:t xml:space="preserve"> Claudio Felli</w:t>
      </w:r>
    </w:p>
    <w:sectPr w:rsidR="00E176F8" w:rsidSect="009E1B3E"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24" w:rsidRDefault="006F1224" w:rsidP="009E1B3E">
      <w:pPr>
        <w:spacing w:line="240" w:lineRule="auto"/>
      </w:pPr>
      <w:r>
        <w:separator/>
      </w:r>
    </w:p>
  </w:endnote>
  <w:endnote w:type="continuationSeparator" w:id="0">
    <w:p w:rsidR="006F1224" w:rsidRDefault="006F1224" w:rsidP="009E1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F8" w:rsidRPr="009E1B3E" w:rsidRDefault="00E176F8">
    <w:pPr>
      <w:pStyle w:val="Pidipagina"/>
      <w:jc w:val="center"/>
      <w:rPr>
        <w:rFonts w:ascii="Verdana" w:hAnsi="Verdana"/>
        <w:sz w:val="16"/>
        <w:szCs w:val="16"/>
      </w:rPr>
    </w:pPr>
    <w:r w:rsidRPr="009E1B3E">
      <w:rPr>
        <w:rFonts w:ascii="Verdana" w:hAnsi="Verdana"/>
        <w:sz w:val="16"/>
        <w:szCs w:val="16"/>
      </w:rPr>
      <w:fldChar w:fldCharType="begin"/>
    </w:r>
    <w:r w:rsidRPr="009E1B3E">
      <w:rPr>
        <w:rFonts w:ascii="Verdana" w:hAnsi="Verdana"/>
        <w:sz w:val="16"/>
        <w:szCs w:val="16"/>
      </w:rPr>
      <w:instrText>PAGE   \* MERGEFORMAT</w:instrText>
    </w:r>
    <w:r w:rsidRPr="009E1B3E">
      <w:rPr>
        <w:rFonts w:ascii="Verdana" w:hAnsi="Verdana"/>
        <w:sz w:val="16"/>
        <w:szCs w:val="16"/>
      </w:rPr>
      <w:fldChar w:fldCharType="separate"/>
    </w:r>
    <w:r w:rsidR="00D63AFF">
      <w:rPr>
        <w:rFonts w:ascii="Verdana" w:hAnsi="Verdana"/>
        <w:noProof/>
        <w:sz w:val="16"/>
        <w:szCs w:val="16"/>
      </w:rPr>
      <w:t>4</w:t>
    </w:r>
    <w:r w:rsidRPr="009E1B3E">
      <w:rPr>
        <w:rFonts w:ascii="Verdana" w:hAnsi="Verdana"/>
        <w:sz w:val="16"/>
        <w:szCs w:val="16"/>
      </w:rPr>
      <w:fldChar w:fldCharType="end"/>
    </w:r>
  </w:p>
  <w:p w:rsidR="00E176F8" w:rsidRDefault="00E176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24" w:rsidRDefault="006F1224" w:rsidP="009E1B3E">
      <w:pPr>
        <w:spacing w:line="240" w:lineRule="auto"/>
      </w:pPr>
      <w:r>
        <w:separator/>
      </w:r>
    </w:p>
  </w:footnote>
  <w:footnote w:type="continuationSeparator" w:id="0">
    <w:p w:rsidR="006F1224" w:rsidRDefault="006F1224" w:rsidP="009E1B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D4"/>
    <w:rsid w:val="00047C7B"/>
    <w:rsid w:val="00073901"/>
    <w:rsid w:val="00092378"/>
    <w:rsid w:val="001F380B"/>
    <w:rsid w:val="0021596C"/>
    <w:rsid w:val="002303C9"/>
    <w:rsid w:val="00297B4D"/>
    <w:rsid w:val="002C03F8"/>
    <w:rsid w:val="00303D93"/>
    <w:rsid w:val="00356E60"/>
    <w:rsid w:val="003A1BA0"/>
    <w:rsid w:val="003F6294"/>
    <w:rsid w:val="00417921"/>
    <w:rsid w:val="00425903"/>
    <w:rsid w:val="004679AB"/>
    <w:rsid w:val="004A2BF3"/>
    <w:rsid w:val="004D4348"/>
    <w:rsid w:val="00526AF1"/>
    <w:rsid w:val="00597E8C"/>
    <w:rsid w:val="005D146A"/>
    <w:rsid w:val="005F3438"/>
    <w:rsid w:val="0065197A"/>
    <w:rsid w:val="00663538"/>
    <w:rsid w:val="006C7FAF"/>
    <w:rsid w:val="006D04A1"/>
    <w:rsid w:val="006E3C1F"/>
    <w:rsid w:val="006F1224"/>
    <w:rsid w:val="007A4749"/>
    <w:rsid w:val="007B148A"/>
    <w:rsid w:val="00825AFC"/>
    <w:rsid w:val="008369DB"/>
    <w:rsid w:val="008D1A67"/>
    <w:rsid w:val="008D343B"/>
    <w:rsid w:val="00976153"/>
    <w:rsid w:val="009B3F17"/>
    <w:rsid w:val="009E1B3E"/>
    <w:rsid w:val="009F170B"/>
    <w:rsid w:val="00A13761"/>
    <w:rsid w:val="00A2163B"/>
    <w:rsid w:val="00A3304A"/>
    <w:rsid w:val="00A606A2"/>
    <w:rsid w:val="00AA6466"/>
    <w:rsid w:val="00AD43B8"/>
    <w:rsid w:val="00B30DEA"/>
    <w:rsid w:val="00BA3C39"/>
    <w:rsid w:val="00BA5BAF"/>
    <w:rsid w:val="00BC5356"/>
    <w:rsid w:val="00BE32E7"/>
    <w:rsid w:val="00BE7FD4"/>
    <w:rsid w:val="00C23BA2"/>
    <w:rsid w:val="00C81073"/>
    <w:rsid w:val="00C82AD7"/>
    <w:rsid w:val="00CC114C"/>
    <w:rsid w:val="00D01FD6"/>
    <w:rsid w:val="00D10601"/>
    <w:rsid w:val="00D63AFF"/>
    <w:rsid w:val="00D83F07"/>
    <w:rsid w:val="00DF3F0E"/>
    <w:rsid w:val="00E0547A"/>
    <w:rsid w:val="00E176F8"/>
    <w:rsid w:val="00EA25C1"/>
    <w:rsid w:val="00EC1DE1"/>
    <w:rsid w:val="00F55D62"/>
    <w:rsid w:val="00F6615A"/>
    <w:rsid w:val="00FE252B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E7FD4"/>
    <w:pPr>
      <w:spacing w:line="360" w:lineRule="auto"/>
      <w:ind w:firstLine="284"/>
      <w:jc w:val="both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6C7FAF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E1B3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locked/>
    <w:rsid w:val="009E1B3E"/>
    <w:rPr>
      <w:rFonts w:cs="Times New Roman"/>
    </w:rPr>
  </w:style>
  <w:style w:type="paragraph" w:styleId="Pidipagina">
    <w:name w:val="footer"/>
    <w:basedOn w:val="Normale"/>
    <w:link w:val="PidipaginaCarattere"/>
    <w:rsid w:val="009E1B3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locked/>
    <w:rsid w:val="009E1B3E"/>
    <w:rPr>
      <w:rFonts w:cs="Times New Roman"/>
    </w:rPr>
  </w:style>
  <w:style w:type="character" w:styleId="Collegamentoipertestuale">
    <w:name w:val="Hyperlink"/>
    <w:basedOn w:val="Carpredefinitoparagrafo"/>
    <w:rsid w:val="00D1060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63A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63AFF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E7FD4"/>
    <w:pPr>
      <w:spacing w:line="360" w:lineRule="auto"/>
      <w:ind w:firstLine="284"/>
      <w:jc w:val="both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6C7FAF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E1B3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locked/>
    <w:rsid w:val="009E1B3E"/>
    <w:rPr>
      <w:rFonts w:cs="Times New Roman"/>
    </w:rPr>
  </w:style>
  <w:style w:type="paragraph" w:styleId="Pidipagina">
    <w:name w:val="footer"/>
    <w:basedOn w:val="Normale"/>
    <w:link w:val="PidipaginaCarattere"/>
    <w:rsid w:val="009E1B3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locked/>
    <w:rsid w:val="009E1B3E"/>
    <w:rPr>
      <w:rFonts w:cs="Times New Roman"/>
    </w:rPr>
  </w:style>
  <w:style w:type="character" w:styleId="Collegamentoipertestuale">
    <w:name w:val="Hyperlink"/>
    <w:basedOn w:val="Carpredefinitoparagrafo"/>
    <w:rsid w:val="00D10601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63A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63AF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</vt:lpstr>
    </vt:vector>
  </TitlesOfParts>
  <Company>Corte dei conti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Prudente Valentina</dc:creator>
  <cp:lastModifiedBy>mfedini</cp:lastModifiedBy>
  <cp:revision>5</cp:revision>
  <cp:lastPrinted>2015-01-07T11:38:00Z</cp:lastPrinted>
  <dcterms:created xsi:type="dcterms:W3CDTF">2015-01-05T09:03:00Z</dcterms:created>
  <dcterms:modified xsi:type="dcterms:W3CDTF">2015-01-07T11:41:00Z</dcterms:modified>
</cp:coreProperties>
</file>