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F1" w:rsidRPr="00E951F1" w:rsidRDefault="00E951F1" w:rsidP="00E951F1">
      <w:pPr>
        <w:spacing w:after="0" w:line="360" w:lineRule="auto"/>
        <w:ind w:right="98"/>
        <w:jc w:val="both"/>
        <w:rPr>
          <w:rFonts w:ascii="Verdana" w:eastAsia="Times New Roman" w:hAnsi="Verdana" w:cs="Times New Roman"/>
          <w:sz w:val="20"/>
          <w:szCs w:val="20"/>
          <w:lang w:eastAsia="it-IT"/>
        </w:rPr>
      </w:pPr>
    </w:p>
    <w:p w:rsidR="00E951F1" w:rsidRPr="00E951F1" w:rsidRDefault="00E951F1" w:rsidP="00E951F1">
      <w:pPr>
        <w:spacing w:after="0" w:line="360" w:lineRule="auto"/>
        <w:ind w:right="9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Del. n. </w:t>
      </w:r>
      <w:r w:rsidR="00D11518">
        <w:rPr>
          <w:rFonts w:ascii="Verdana" w:eastAsia="Times New Roman" w:hAnsi="Verdana" w:cs="Times New Roman"/>
          <w:sz w:val="20"/>
          <w:szCs w:val="20"/>
          <w:lang w:eastAsia="it-IT"/>
        </w:rPr>
        <w:t>6</w:t>
      </w:r>
      <w:r w:rsidRPr="00E951F1">
        <w:rPr>
          <w:rFonts w:ascii="Verdana" w:eastAsia="Times New Roman" w:hAnsi="Verdana" w:cs="Times New Roman"/>
          <w:sz w:val="20"/>
          <w:szCs w:val="20"/>
          <w:lang w:eastAsia="it-IT"/>
        </w:rPr>
        <w:t>/201</w:t>
      </w:r>
      <w:r w:rsidR="000A0A19">
        <w:rPr>
          <w:rFonts w:ascii="Verdana" w:eastAsia="Times New Roman" w:hAnsi="Verdana" w:cs="Times New Roman"/>
          <w:sz w:val="20"/>
          <w:szCs w:val="20"/>
          <w:lang w:eastAsia="it-IT"/>
        </w:rPr>
        <w:t>5</w:t>
      </w:r>
      <w:r w:rsidRPr="00E951F1">
        <w:rPr>
          <w:rFonts w:ascii="Verdana" w:eastAsia="Times New Roman" w:hAnsi="Verdana" w:cs="Times New Roman"/>
          <w:sz w:val="20"/>
          <w:szCs w:val="20"/>
          <w:lang w:eastAsia="it-IT"/>
        </w:rPr>
        <w:t>/PAR</w:t>
      </w:r>
    </w:p>
    <w:p w:rsidR="00E951F1" w:rsidRPr="00E951F1" w:rsidRDefault="00E951F1" w:rsidP="00E951F1">
      <w:pPr>
        <w:spacing w:after="0" w:line="360" w:lineRule="auto"/>
        <w:ind w:right="98"/>
        <w:jc w:val="both"/>
        <w:rPr>
          <w:rFonts w:ascii="Verdana" w:eastAsia="Times New Roman" w:hAnsi="Verdana" w:cs="Times New Roman"/>
          <w:sz w:val="20"/>
          <w:szCs w:val="20"/>
          <w:lang w:eastAsia="it-IT"/>
        </w:rPr>
      </w:pPr>
    </w:p>
    <w:p w:rsidR="00E951F1" w:rsidRPr="00E951F1" w:rsidRDefault="00E951F1" w:rsidP="00E951F1">
      <w:pPr>
        <w:spacing w:after="0" w:line="360" w:lineRule="auto"/>
        <w:ind w:right="98"/>
        <w:jc w:val="both"/>
        <w:rPr>
          <w:rFonts w:ascii="Verdana" w:eastAsia="Times New Roman" w:hAnsi="Verdana" w:cs="Times New Roman"/>
          <w:sz w:val="20"/>
          <w:szCs w:val="20"/>
          <w:lang w:eastAsia="it-IT"/>
        </w:rPr>
      </w:pPr>
    </w:p>
    <w:p w:rsidR="00E951F1" w:rsidRPr="00E951F1" w:rsidRDefault="00E951F1" w:rsidP="00E951F1">
      <w:pPr>
        <w:spacing w:after="0" w:line="360" w:lineRule="auto"/>
        <w:ind w:left="180" w:right="98" w:firstLine="540"/>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8" o:title=""/>
          </v:shape>
          <o:OLEObject Type="Embed" ProgID="Word.Picture.8" ShapeID="_x0000_i1025" DrawAspect="Content" ObjectID="_1483341585" r:id="rId9"/>
        </w:object>
      </w:r>
    </w:p>
    <w:p w:rsidR="00E951F1" w:rsidRPr="00E951F1" w:rsidRDefault="00E951F1" w:rsidP="00E951F1">
      <w:pPr>
        <w:spacing w:after="0" w:line="360" w:lineRule="auto"/>
        <w:ind w:left="1416" w:right="96" w:firstLine="708"/>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Sezione regionale di controllo per la Toscana</w:t>
      </w:r>
    </w:p>
    <w:p w:rsidR="00E951F1" w:rsidRPr="00E951F1" w:rsidRDefault="00E951F1" w:rsidP="00E951F1">
      <w:pPr>
        <w:spacing w:after="0" w:line="360" w:lineRule="auto"/>
        <w:ind w:right="96"/>
        <w:rPr>
          <w:rFonts w:ascii="Verdana" w:eastAsia="Times New Roman" w:hAnsi="Verdana" w:cs="Times New Roman"/>
          <w:sz w:val="20"/>
          <w:szCs w:val="20"/>
          <w:lang w:eastAsia="it-IT"/>
        </w:rPr>
      </w:pPr>
    </w:p>
    <w:p w:rsidR="00E951F1" w:rsidRPr="00E951F1" w:rsidRDefault="00E951F1" w:rsidP="004359C5">
      <w:pPr>
        <w:spacing w:after="0" w:line="360" w:lineRule="auto"/>
        <w:ind w:left="284" w:right="96"/>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composta dai signori magistrati:</w:t>
      </w:r>
    </w:p>
    <w:p w:rsidR="00E951F1" w:rsidRDefault="00E951F1" w:rsidP="00E951F1">
      <w:pPr>
        <w:spacing w:after="0" w:line="360" w:lineRule="auto"/>
        <w:ind w:left="992" w:right="98" w:firstLine="42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Gaetano D’AURIA</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presidente</w:t>
      </w:r>
    </w:p>
    <w:p w:rsidR="00D834E2" w:rsidRPr="00E951F1" w:rsidRDefault="00D834E2" w:rsidP="00E951F1">
      <w:pPr>
        <w:spacing w:after="0" w:line="360" w:lineRule="auto"/>
        <w:ind w:left="992" w:right="98" w:firstLine="42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Maria Annunziata RUCIRETA</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consigliere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Paolo PELUFFO</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consigliere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Nicola BONTEMPO</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consigliere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Emilia TRISCIUOGLIO</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consigliere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Laura D’AMBROSIO</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consigliere</w:t>
      </w:r>
      <w:r>
        <w:rPr>
          <w:rFonts w:ascii="Verdana" w:eastAsia="Times New Roman" w:hAnsi="Verdana" w:cs="Times New Roman"/>
          <w:sz w:val="20"/>
          <w:szCs w:val="20"/>
          <w:lang w:eastAsia="it-IT"/>
        </w:rPr>
        <w:t>, relatore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Marco BONCOMPAGNI</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consigliere</w:t>
      </w:r>
    </w:p>
    <w:p w:rsidR="00E951F1" w:rsidRPr="00E951F1" w:rsidRDefault="00E951F1" w:rsidP="00E951F1">
      <w:pPr>
        <w:spacing w:after="0" w:line="360" w:lineRule="auto"/>
        <w:ind w:left="712" w:firstLine="708"/>
        <w:rPr>
          <w:rFonts w:ascii="Verdana" w:eastAsia="Times New Roman" w:hAnsi="Verdana" w:cs="Times New Roman"/>
          <w:sz w:val="20"/>
          <w:szCs w:val="20"/>
          <w:lang w:eastAsia="it-IT"/>
        </w:rPr>
      </w:pPr>
    </w:p>
    <w:p w:rsidR="00E951F1" w:rsidRPr="00E951F1" w:rsidRDefault="00E951F1" w:rsidP="004359C5">
      <w:pPr>
        <w:spacing w:after="0" w:line="360" w:lineRule="auto"/>
        <w:ind w:left="712" w:hanging="428"/>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nell’adunanza del </w:t>
      </w:r>
      <w:r w:rsidR="00D834E2">
        <w:rPr>
          <w:rFonts w:ascii="Verdana" w:eastAsia="Times New Roman" w:hAnsi="Verdana" w:cs="Times New Roman"/>
          <w:sz w:val="20"/>
          <w:szCs w:val="20"/>
          <w:lang w:eastAsia="it-IT"/>
        </w:rPr>
        <w:t>15 gennaio</w:t>
      </w:r>
      <w:r w:rsidR="00BD7E03">
        <w:rPr>
          <w:rFonts w:ascii="Verdana" w:eastAsia="Times New Roman" w:hAnsi="Verdana" w:cs="Times New Roman"/>
          <w:sz w:val="20"/>
          <w:szCs w:val="20"/>
          <w:lang w:eastAsia="it-IT"/>
        </w:rPr>
        <w:t xml:space="preserve"> 2015</w:t>
      </w:r>
      <w:r w:rsidRPr="00E951F1">
        <w:rPr>
          <w:rFonts w:ascii="Verdana" w:eastAsia="Times New Roman" w:hAnsi="Verdana" w:cs="Times New Roman"/>
          <w:sz w:val="20"/>
          <w:szCs w:val="20"/>
          <w:lang w:eastAsia="it-IT"/>
        </w:rPr>
        <w:t>,</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VISTO l’art. 100, comma 2, della Costituzione;</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VISTO il testo unico delle leggi sulla Corte dei conti, approvato con r.d. 12 luglio 1934, n. 1214, e successive modificazioni;</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VISTA la legge 14 gennaio 1994, n. 20, recante disposizioni in materia di giurisdizione e controllo della Corte dei conti, e successive modificazioni; </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VISTA la legge 5 giugno 2003,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E951F1">
          <w:rPr>
            <w:rFonts w:ascii="Verdana" w:eastAsia="Times New Roman" w:hAnsi="Verdana" w:cs="Times New Roman"/>
            <w:sz w:val="20"/>
            <w:szCs w:val="20"/>
            <w:lang w:eastAsia="it-IT"/>
          </w:rPr>
          <w:t>18 ottobre 2001</w:t>
        </w:r>
      </w:smartTag>
      <w:r w:rsidRPr="00E951F1">
        <w:rPr>
          <w:rFonts w:ascii="Verdana" w:eastAsia="Times New Roman" w:hAnsi="Verdana" w:cs="Times New Roman"/>
          <w:sz w:val="20"/>
          <w:szCs w:val="20"/>
          <w:lang w:eastAsia="it-IT"/>
        </w:rPr>
        <w:t>, n. 3;</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VISTO il regolamento (14/2000) per l’organizzazione delle funzioni di controllo della Corte dei conti, deliberato dalle Sezioni riunite della Corte dei conti in data 16 giugno 2000 e successive modifiche; </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lastRenderedPageBreak/>
        <w:t xml:space="preserve">UDITO il relatore, cons. </w:t>
      </w:r>
      <w:r>
        <w:rPr>
          <w:rFonts w:ascii="Verdana" w:eastAsia="Times New Roman" w:hAnsi="Verdana" w:cs="Times New Roman"/>
          <w:sz w:val="20"/>
          <w:szCs w:val="20"/>
          <w:lang w:eastAsia="it-IT"/>
        </w:rPr>
        <w:t>Laura d’Ambrosio</w:t>
      </w:r>
      <w:r w:rsidRPr="00E951F1">
        <w:rPr>
          <w:rFonts w:ascii="Verdana" w:eastAsia="Times New Roman" w:hAnsi="Verdana" w:cs="Times New Roman"/>
          <w:sz w:val="20"/>
          <w:szCs w:val="20"/>
          <w:lang w:eastAsia="it-IT"/>
        </w:rPr>
        <w:t>;</w:t>
      </w:r>
    </w:p>
    <w:p w:rsidR="00E951F1" w:rsidRPr="00E951F1" w:rsidRDefault="00E951F1" w:rsidP="00E951F1">
      <w:pPr>
        <w:spacing w:after="0" w:line="360" w:lineRule="auto"/>
        <w:ind w:right="98"/>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PREMESSO</w:t>
      </w:r>
    </w:p>
    <w:p w:rsidR="00E951F1" w:rsidRPr="00E951F1" w:rsidRDefault="00E951F1" w:rsidP="00E951F1">
      <w:pPr>
        <w:spacing w:after="0" w:line="360" w:lineRule="auto"/>
        <w:ind w:left="180" w:firstLine="528"/>
        <w:jc w:val="both"/>
        <w:rPr>
          <w:rFonts w:ascii="Verdana" w:eastAsia="Times New Roman" w:hAnsi="Verdana" w:cs="Times New Roman"/>
          <w:sz w:val="20"/>
          <w:szCs w:val="20"/>
          <w:lang w:eastAsia="it-IT"/>
        </w:rPr>
      </w:pPr>
    </w:p>
    <w:p w:rsidR="00151C23" w:rsidRDefault="00E951F1" w:rsidP="002A01F8">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Il Consiglio delle autonomie locali ha inoltrato alla Sezione – con nota </w:t>
      </w:r>
      <w:r w:rsidR="008515AE">
        <w:rPr>
          <w:rFonts w:ascii="Verdana" w:eastAsia="Times New Roman" w:hAnsi="Verdana" w:cs="Times New Roman"/>
          <w:sz w:val="20"/>
          <w:szCs w:val="20"/>
          <w:lang w:eastAsia="it-IT"/>
        </w:rPr>
        <w:t>prot.</w:t>
      </w:r>
      <w:r w:rsidR="00606BDE">
        <w:rPr>
          <w:rFonts w:ascii="Verdana" w:eastAsia="Times New Roman" w:hAnsi="Verdana" w:cs="Times New Roman"/>
          <w:sz w:val="20"/>
          <w:szCs w:val="20"/>
          <w:lang w:eastAsia="it-IT"/>
        </w:rPr>
        <w:t xml:space="preserve"> 29 aprile 2014, prot</w:t>
      </w:r>
      <w:r w:rsidR="002410A2">
        <w:rPr>
          <w:rFonts w:ascii="Verdana" w:eastAsia="Times New Roman" w:hAnsi="Verdana" w:cs="Times New Roman"/>
          <w:sz w:val="20"/>
          <w:szCs w:val="20"/>
          <w:lang w:eastAsia="it-IT"/>
        </w:rPr>
        <w:t>.</w:t>
      </w:r>
      <w:r w:rsidR="00606BDE">
        <w:rPr>
          <w:rFonts w:ascii="Verdana" w:eastAsia="Times New Roman" w:hAnsi="Verdana" w:cs="Times New Roman"/>
          <w:sz w:val="20"/>
          <w:szCs w:val="20"/>
          <w:lang w:eastAsia="it-IT"/>
        </w:rPr>
        <w:t xml:space="preserve"> 7664</w:t>
      </w:r>
      <w:r w:rsidR="008515AE">
        <w:rPr>
          <w:rFonts w:ascii="Verdana" w:eastAsia="Times New Roman" w:hAnsi="Verdana" w:cs="Times New Roman"/>
          <w:sz w:val="20"/>
          <w:szCs w:val="20"/>
          <w:lang w:eastAsia="it-IT"/>
        </w:rPr>
        <w:t xml:space="preserve"> </w:t>
      </w:r>
      <w:r w:rsidRPr="00E951F1">
        <w:rPr>
          <w:rFonts w:ascii="Verdana" w:eastAsia="Times New Roman" w:hAnsi="Verdana" w:cs="Times New Roman"/>
          <w:sz w:val="20"/>
          <w:szCs w:val="20"/>
          <w:lang w:eastAsia="it-IT"/>
        </w:rPr>
        <w:t xml:space="preserve">– una richiesta di parere, formulata dal </w:t>
      </w:r>
      <w:r w:rsidR="00606BDE">
        <w:rPr>
          <w:rFonts w:ascii="Verdana" w:eastAsia="Times New Roman" w:hAnsi="Verdana" w:cs="Times New Roman"/>
          <w:sz w:val="20"/>
          <w:szCs w:val="20"/>
          <w:lang w:eastAsia="it-IT"/>
        </w:rPr>
        <w:t xml:space="preserve">Presidente dell’Unione dei Comuni di Valdarno e </w:t>
      </w:r>
      <w:proofErr w:type="spellStart"/>
      <w:r w:rsidR="00606BDE">
        <w:rPr>
          <w:rFonts w:ascii="Verdana" w:eastAsia="Times New Roman" w:hAnsi="Verdana" w:cs="Times New Roman"/>
          <w:sz w:val="20"/>
          <w:szCs w:val="20"/>
          <w:lang w:eastAsia="it-IT"/>
        </w:rPr>
        <w:t>Valdisieve</w:t>
      </w:r>
      <w:proofErr w:type="spellEnd"/>
      <w:r w:rsidR="00896D03">
        <w:rPr>
          <w:rFonts w:ascii="Verdana" w:eastAsia="Times New Roman" w:hAnsi="Verdana" w:cs="Times New Roman"/>
          <w:sz w:val="20"/>
          <w:szCs w:val="20"/>
          <w:lang w:eastAsia="it-IT"/>
        </w:rPr>
        <w:t xml:space="preserve">. </w:t>
      </w:r>
    </w:p>
    <w:p w:rsidR="00C75BD3" w:rsidRDefault="00606BDE" w:rsidP="002A01F8">
      <w:pPr>
        <w:spacing w:after="0" w:line="360" w:lineRule="auto"/>
        <w:ind w:firstLine="28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La richiesta riguarda l’applicabilità delle disposizioni sul contenimento della spesa del personale</w:t>
      </w:r>
      <w:r w:rsidR="00C514E7">
        <w:rPr>
          <w:rFonts w:ascii="Verdana" w:eastAsia="Times New Roman" w:hAnsi="Verdana" w:cs="Times New Roman"/>
          <w:sz w:val="20"/>
          <w:szCs w:val="20"/>
          <w:lang w:eastAsia="it-IT"/>
        </w:rPr>
        <w:t xml:space="preserve">, con specifico riferimento al divieto di dare applicazione agli aumenti economici </w:t>
      </w:r>
      <w:r w:rsidR="002410A2">
        <w:rPr>
          <w:rFonts w:ascii="Verdana" w:eastAsia="Times New Roman" w:hAnsi="Verdana" w:cs="Times New Roman"/>
          <w:sz w:val="20"/>
          <w:szCs w:val="20"/>
          <w:lang w:eastAsia="it-IT"/>
        </w:rPr>
        <w:t>previsti dalla contrattazione</w:t>
      </w:r>
      <w:r>
        <w:rPr>
          <w:rFonts w:ascii="Verdana" w:eastAsia="Times New Roman" w:hAnsi="Verdana" w:cs="Times New Roman"/>
          <w:sz w:val="20"/>
          <w:szCs w:val="20"/>
          <w:lang w:eastAsia="it-IT"/>
        </w:rPr>
        <w:t xml:space="preserve"> (d.lgs. 78 del 2010, art. 9, comma 17)</w:t>
      </w:r>
      <w:r w:rsidR="002410A2">
        <w:rPr>
          <w:rFonts w:ascii="Verdana" w:eastAsia="Times New Roman" w:hAnsi="Verdana" w:cs="Times New Roman"/>
          <w:sz w:val="20"/>
          <w:szCs w:val="20"/>
          <w:lang w:eastAsia="it-IT"/>
        </w:rPr>
        <w:t>,</w:t>
      </w:r>
      <w:r w:rsidR="00BD7E03">
        <w:rPr>
          <w:rFonts w:ascii="Verdana" w:eastAsia="Times New Roman" w:hAnsi="Verdana" w:cs="Times New Roman"/>
          <w:sz w:val="20"/>
          <w:szCs w:val="20"/>
          <w:lang w:eastAsia="it-IT"/>
        </w:rPr>
        <w:t xml:space="preserve"> a personale</w:t>
      </w:r>
      <w:r>
        <w:rPr>
          <w:rFonts w:ascii="Verdana" w:eastAsia="Times New Roman" w:hAnsi="Verdana" w:cs="Times New Roman"/>
          <w:sz w:val="20"/>
          <w:szCs w:val="20"/>
          <w:lang w:eastAsia="it-IT"/>
        </w:rPr>
        <w:t xml:space="preserve"> per il quale si applica il CCNL </w:t>
      </w:r>
      <w:r w:rsidR="00151C23">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per gli addetti al sistema idraulico-forestale-idraulico agraria</w:t>
      </w:r>
      <w:r w:rsidR="002410A2">
        <w:rPr>
          <w:rFonts w:ascii="Verdana" w:eastAsia="Times New Roman" w:hAnsi="Verdana" w:cs="Times New Roman"/>
          <w:sz w:val="20"/>
          <w:szCs w:val="20"/>
          <w:lang w:eastAsia="it-IT"/>
        </w:rPr>
        <w:t xml:space="preserve"> ed il Contratto collettivo regionale</w:t>
      </w:r>
      <w:r>
        <w:rPr>
          <w:rFonts w:ascii="Verdana" w:eastAsia="Times New Roman" w:hAnsi="Verdana" w:cs="Times New Roman"/>
          <w:sz w:val="20"/>
          <w:szCs w:val="20"/>
          <w:lang w:eastAsia="it-IT"/>
        </w:rPr>
        <w:t xml:space="preserve">. </w:t>
      </w:r>
    </w:p>
    <w:p w:rsidR="00151C23" w:rsidRDefault="00151C23" w:rsidP="00E951F1">
      <w:pPr>
        <w:spacing w:after="0" w:line="360" w:lineRule="auto"/>
        <w:jc w:val="center"/>
        <w:rPr>
          <w:rFonts w:ascii="Verdana" w:eastAsia="Times New Roman" w:hAnsi="Verdana" w:cs="Times New Roman"/>
          <w:sz w:val="20"/>
          <w:szCs w:val="20"/>
          <w:lang w:eastAsia="it-IT"/>
        </w:rPr>
      </w:pPr>
    </w:p>
    <w:p w:rsidR="00E951F1" w:rsidRPr="00E951F1" w:rsidRDefault="00E951F1" w:rsidP="00E951F1">
      <w:pPr>
        <w:spacing w:after="0" w:line="360" w:lineRule="auto"/>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CONSIDERATO</w:t>
      </w:r>
    </w:p>
    <w:p w:rsidR="00E951F1" w:rsidRPr="00E951F1" w:rsidRDefault="00E951F1" w:rsidP="00E951F1">
      <w:pPr>
        <w:spacing w:after="0" w:line="360" w:lineRule="auto"/>
        <w:ind w:left="180" w:right="98" w:firstLine="540"/>
        <w:jc w:val="center"/>
        <w:rPr>
          <w:rFonts w:ascii="Verdana" w:eastAsia="Times New Roman" w:hAnsi="Verdana" w:cs="Times New Roman"/>
          <w:sz w:val="20"/>
          <w:szCs w:val="20"/>
          <w:lang w:eastAsia="it-IT"/>
        </w:rPr>
      </w:pPr>
    </w:p>
    <w:p w:rsidR="00E951F1" w:rsidRPr="00E951F1" w:rsidRDefault="00E951F1" w:rsidP="008515AE">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La richie</w:t>
      </w:r>
      <w:r w:rsidR="00C75BD3">
        <w:rPr>
          <w:rFonts w:ascii="Verdana" w:eastAsia="Times New Roman" w:hAnsi="Verdana" w:cs="Times New Roman"/>
          <w:sz w:val="20"/>
          <w:szCs w:val="20"/>
          <w:lang w:eastAsia="it-IT"/>
        </w:rPr>
        <w:t>sta di parere è ammissibile,</w:t>
      </w:r>
      <w:r w:rsidRPr="00E951F1">
        <w:rPr>
          <w:rFonts w:ascii="Verdana" w:eastAsia="Times New Roman" w:hAnsi="Verdana" w:cs="Times New Roman"/>
          <w:sz w:val="20"/>
          <w:szCs w:val="20"/>
          <w:lang w:eastAsia="it-IT"/>
        </w:rPr>
        <w:t xml:space="preserve"> sotto il profilo soggettivo, essendo stata </w:t>
      </w:r>
      <w:r w:rsidR="00606BDE">
        <w:rPr>
          <w:rFonts w:ascii="Verdana" w:eastAsia="Times New Roman" w:hAnsi="Verdana" w:cs="Times New Roman"/>
          <w:sz w:val="20"/>
          <w:szCs w:val="20"/>
          <w:lang w:eastAsia="it-IT"/>
        </w:rPr>
        <w:t>trasmessa</w:t>
      </w:r>
      <w:r w:rsidRPr="00E951F1">
        <w:rPr>
          <w:rFonts w:ascii="Verdana" w:eastAsia="Times New Roman" w:hAnsi="Verdana" w:cs="Times New Roman"/>
          <w:sz w:val="20"/>
          <w:szCs w:val="20"/>
          <w:lang w:eastAsia="it-IT"/>
        </w:rPr>
        <w:t xml:space="preserve"> del Consiglio delle autonomie</w:t>
      </w:r>
      <w:r w:rsidR="00606BDE">
        <w:rPr>
          <w:rFonts w:ascii="Verdana" w:eastAsia="Times New Roman" w:hAnsi="Verdana" w:cs="Times New Roman"/>
          <w:sz w:val="20"/>
          <w:szCs w:val="20"/>
          <w:lang w:eastAsia="it-IT"/>
        </w:rPr>
        <w:t xml:space="preserve"> in applicazione della citata convenzione che, pur nel silenzio della legge, estende alle Unioni di comuni la possibilità di inoltrare pareri alla Sezione regionale di controllo</w:t>
      </w:r>
      <w:r w:rsidR="00151C23">
        <w:rPr>
          <w:rFonts w:ascii="Verdana" w:eastAsia="Times New Roman" w:hAnsi="Verdana" w:cs="Times New Roman"/>
          <w:sz w:val="20"/>
          <w:szCs w:val="20"/>
          <w:lang w:eastAsia="it-IT"/>
        </w:rPr>
        <w:t>.</w:t>
      </w:r>
    </w:p>
    <w:p w:rsidR="00285A16" w:rsidRDefault="00606BDE" w:rsidP="008515AE">
      <w:pPr>
        <w:spacing w:after="0" w:line="360" w:lineRule="auto"/>
        <w:ind w:firstLine="284"/>
        <w:jc w:val="both"/>
        <w:rPr>
          <w:rFonts w:ascii="Verdana" w:eastAsia="Times New Roman" w:hAnsi="Verdana" w:cs="Times New Roman"/>
          <w:sz w:val="19"/>
          <w:szCs w:val="19"/>
          <w:lang w:eastAsia="it-IT"/>
        </w:rPr>
      </w:pPr>
      <w:r>
        <w:rPr>
          <w:rFonts w:ascii="Verdana" w:eastAsia="Times New Roman" w:hAnsi="Verdana" w:cs="Times New Roman"/>
          <w:sz w:val="19"/>
          <w:szCs w:val="19"/>
          <w:lang w:eastAsia="it-IT"/>
        </w:rPr>
        <w:t>Il quesito è inoltre, ammissibile da un punto di visto oggettivo in quanto riferibile, in via generale, alla materia della contabilità pubblica ed, in particolare, all’applicazione delle disposizioni sul contenimento della spesa del personale</w:t>
      </w:r>
      <w:r w:rsidR="00285A16">
        <w:rPr>
          <w:rFonts w:ascii="Verdana" w:eastAsia="Times New Roman" w:hAnsi="Verdana" w:cs="Times New Roman"/>
          <w:sz w:val="19"/>
          <w:szCs w:val="19"/>
          <w:lang w:eastAsia="it-IT"/>
        </w:rPr>
        <w:t>.</w:t>
      </w:r>
    </w:p>
    <w:p w:rsidR="002410A2" w:rsidRDefault="00C514E7" w:rsidP="008515AE">
      <w:pPr>
        <w:spacing w:after="0" w:line="360" w:lineRule="auto"/>
        <w:ind w:firstLine="284"/>
        <w:jc w:val="both"/>
        <w:rPr>
          <w:rFonts w:ascii="Verdana" w:eastAsia="Times New Roman" w:hAnsi="Verdana" w:cs="Times New Roman"/>
          <w:sz w:val="19"/>
          <w:szCs w:val="19"/>
          <w:lang w:eastAsia="it-IT"/>
        </w:rPr>
      </w:pPr>
      <w:r>
        <w:rPr>
          <w:rFonts w:ascii="Verdana" w:eastAsia="Times New Roman" w:hAnsi="Verdana" w:cs="Times New Roman"/>
          <w:sz w:val="19"/>
          <w:szCs w:val="19"/>
          <w:lang w:eastAsia="it-IT"/>
        </w:rPr>
        <w:t xml:space="preserve">Nel merito, occorre ricordare che la disposizione citata nella richiesta di parere (art. 9, comma 17, d.lgs. 78/2010) </w:t>
      </w:r>
      <w:r w:rsidR="002410A2">
        <w:rPr>
          <w:rFonts w:ascii="Verdana" w:eastAsia="Times New Roman" w:hAnsi="Verdana" w:cs="Times New Roman"/>
          <w:sz w:val="19"/>
          <w:szCs w:val="19"/>
          <w:lang w:eastAsia="it-IT"/>
        </w:rPr>
        <w:t>riguarda il divieto di dare corso agli adeguamenti economici contrattualmente previsti per i</w:t>
      </w:r>
      <w:r>
        <w:rPr>
          <w:rFonts w:ascii="Verdana" w:eastAsia="Times New Roman" w:hAnsi="Verdana" w:cs="Times New Roman"/>
          <w:sz w:val="19"/>
          <w:szCs w:val="19"/>
          <w:lang w:eastAsia="it-IT"/>
        </w:rPr>
        <w:t xml:space="preserve">l personale di cui all’art. 2, comma </w:t>
      </w:r>
      <w:r w:rsidR="002410A2">
        <w:rPr>
          <w:rFonts w:ascii="Verdana" w:eastAsia="Times New Roman" w:hAnsi="Verdana" w:cs="Times New Roman"/>
          <w:sz w:val="19"/>
          <w:szCs w:val="19"/>
          <w:lang w:eastAsia="it-IT"/>
        </w:rPr>
        <w:t>2 del d.lgs. 165/2001 ed i</w:t>
      </w:r>
      <w:r>
        <w:rPr>
          <w:rFonts w:ascii="Verdana" w:eastAsia="Times New Roman" w:hAnsi="Verdana" w:cs="Times New Roman"/>
          <w:sz w:val="19"/>
          <w:szCs w:val="19"/>
          <w:lang w:eastAsia="it-IT"/>
        </w:rPr>
        <w:t xml:space="preserve">l personale di cui all’art. 3 del medesimo decreto. </w:t>
      </w:r>
    </w:p>
    <w:p w:rsidR="00321962" w:rsidRDefault="00321962" w:rsidP="006F11D3">
      <w:pPr>
        <w:pStyle w:val="Rientrocorpodeltesto21"/>
        <w:spacing w:after="0" w:line="360" w:lineRule="auto"/>
        <w:ind w:left="0" w:firstLine="284"/>
        <w:jc w:val="both"/>
        <w:rPr>
          <w:rFonts w:ascii="Verdana" w:hAnsi="Verdana"/>
          <w:sz w:val="20"/>
          <w:szCs w:val="20"/>
        </w:rPr>
      </w:pPr>
      <w:r>
        <w:rPr>
          <w:rFonts w:ascii="Verdana" w:hAnsi="Verdana"/>
          <w:sz w:val="20"/>
          <w:szCs w:val="20"/>
        </w:rPr>
        <w:t xml:space="preserve">Nello specifico, l'art.9, comma 4 del </w:t>
      </w:r>
      <w:proofErr w:type="spellStart"/>
      <w:r>
        <w:rPr>
          <w:rFonts w:ascii="Verdana" w:hAnsi="Verdana"/>
          <w:sz w:val="20"/>
          <w:szCs w:val="20"/>
        </w:rPr>
        <w:t>d</w:t>
      </w:r>
      <w:r w:rsidR="00FB2E50">
        <w:rPr>
          <w:rFonts w:ascii="Verdana" w:hAnsi="Verdana"/>
          <w:sz w:val="20"/>
          <w:szCs w:val="20"/>
        </w:rPr>
        <w:t>.l.</w:t>
      </w:r>
      <w:proofErr w:type="spellEnd"/>
      <w:r>
        <w:rPr>
          <w:rFonts w:ascii="Verdana" w:hAnsi="Verdana"/>
          <w:sz w:val="20"/>
          <w:szCs w:val="20"/>
        </w:rPr>
        <w:t xml:space="preserve"> 31 maggio 2010, </w:t>
      </w:r>
      <w:r w:rsidR="00FB2E50">
        <w:rPr>
          <w:rFonts w:ascii="Verdana" w:hAnsi="Verdana"/>
          <w:sz w:val="20"/>
          <w:szCs w:val="20"/>
        </w:rPr>
        <w:t xml:space="preserve">n. 78, </w:t>
      </w:r>
      <w:r>
        <w:rPr>
          <w:rFonts w:ascii="Verdana" w:hAnsi="Verdana"/>
          <w:sz w:val="20"/>
          <w:szCs w:val="20"/>
        </w:rPr>
        <w:t xml:space="preserve">convertito con modificazioni dalla </w:t>
      </w:r>
      <w:r w:rsidR="00FB2E50">
        <w:rPr>
          <w:rFonts w:ascii="Verdana" w:hAnsi="Verdana"/>
          <w:sz w:val="20"/>
          <w:szCs w:val="20"/>
        </w:rPr>
        <w:t>l.</w:t>
      </w:r>
      <w:r>
        <w:rPr>
          <w:rFonts w:ascii="Verdana" w:hAnsi="Verdana"/>
          <w:sz w:val="20"/>
          <w:szCs w:val="20"/>
        </w:rPr>
        <w:t xml:space="preserve"> 30 luglio 2010</w:t>
      </w:r>
      <w:r w:rsidR="00FB2E50">
        <w:rPr>
          <w:rFonts w:ascii="Verdana" w:hAnsi="Verdana"/>
          <w:sz w:val="20"/>
          <w:szCs w:val="20"/>
        </w:rPr>
        <w:t>, n. 122,</w:t>
      </w:r>
      <w:r>
        <w:rPr>
          <w:rFonts w:ascii="Verdana" w:hAnsi="Verdana"/>
          <w:sz w:val="20"/>
          <w:szCs w:val="20"/>
        </w:rPr>
        <w:t xml:space="preserve"> stabilisce che “I rinnovi contrattuali del personale dipendente dalle pubbliche amministrazioni per il biennio 2008-2009 ed i miglioramenti economici del rimanente personale in regime di diritto pubblico per il medesimo biennio non possono, in ogni caso, determinare aumenti retributivi superiori al 3,2 per cento. La disposizione di cui al presente comma si applica anche ai contratti ed accordi stipulati prima della data di entrata in vigore del presente decreto; le clausole difformi contenute nei predetti contratti ed accordi sono inefficaci a decorrere dalla mensilità successiva alla data di entrata in vigore del presente decreto; i trattamenti retributivi saranno conseguentemente adeguati”. </w:t>
      </w:r>
      <w:r w:rsidR="00BD7E03">
        <w:rPr>
          <w:rFonts w:ascii="Verdana" w:hAnsi="Verdana"/>
          <w:sz w:val="20"/>
          <w:szCs w:val="20"/>
        </w:rPr>
        <w:t>Dette disposizioni hanno condizionat</w:t>
      </w:r>
      <w:r>
        <w:rPr>
          <w:rFonts w:ascii="Verdana" w:hAnsi="Verdana"/>
          <w:sz w:val="20"/>
          <w:szCs w:val="20"/>
        </w:rPr>
        <w:t>o la discrezionalità decisionale della parte datoriale pubblica</w:t>
      </w:r>
      <w:r w:rsidR="007F4DF1">
        <w:rPr>
          <w:rFonts w:ascii="Verdana" w:hAnsi="Verdana"/>
          <w:sz w:val="20"/>
          <w:szCs w:val="20"/>
        </w:rPr>
        <w:t xml:space="preserve"> (</w:t>
      </w:r>
      <w:r w:rsidR="00D834E2">
        <w:rPr>
          <w:rFonts w:ascii="Verdana" w:hAnsi="Verdana"/>
          <w:sz w:val="20"/>
          <w:szCs w:val="20"/>
        </w:rPr>
        <w:t>UNCEM</w:t>
      </w:r>
      <w:r w:rsidR="001D5570">
        <w:rPr>
          <w:rFonts w:ascii="Verdana" w:hAnsi="Verdana"/>
          <w:sz w:val="20"/>
          <w:szCs w:val="20"/>
        </w:rPr>
        <w:t>,</w:t>
      </w:r>
      <w:r w:rsidR="007F4DF1">
        <w:rPr>
          <w:rFonts w:ascii="Verdana" w:hAnsi="Verdana"/>
          <w:sz w:val="20"/>
          <w:szCs w:val="20"/>
        </w:rPr>
        <w:t xml:space="preserve"> Unione Nazionale Comuni </w:t>
      </w:r>
      <w:r w:rsidR="00FB2E50">
        <w:rPr>
          <w:rFonts w:ascii="Verdana" w:hAnsi="Verdana"/>
          <w:sz w:val="20"/>
          <w:szCs w:val="20"/>
        </w:rPr>
        <w:t>C</w:t>
      </w:r>
      <w:r w:rsidR="007F4DF1">
        <w:rPr>
          <w:rFonts w:ascii="Verdana" w:hAnsi="Verdana"/>
          <w:sz w:val="20"/>
          <w:szCs w:val="20"/>
        </w:rPr>
        <w:t>omunità Enti Montani)</w:t>
      </w:r>
      <w:r>
        <w:rPr>
          <w:rFonts w:ascii="Verdana" w:hAnsi="Verdana"/>
          <w:sz w:val="20"/>
          <w:szCs w:val="20"/>
        </w:rPr>
        <w:t xml:space="preserve"> che </w:t>
      </w:r>
      <w:r>
        <w:rPr>
          <w:rFonts w:ascii="Verdana" w:hAnsi="Verdana"/>
          <w:sz w:val="20"/>
          <w:szCs w:val="20"/>
        </w:rPr>
        <w:lastRenderedPageBreak/>
        <w:t xml:space="preserve">ha sottoscritto il CCNL Addetti lavori sistemazione idraulico-forestale e idraulico-agraria ed i relativi contratti regionali integrativi del contratto collettivo nazionale di lavoro, in rappresentanza dei lavoratori forestali in carico alle Comunità Montane e quindi alle Regioni ed agli altri enti locali.  </w:t>
      </w:r>
    </w:p>
    <w:p w:rsidR="00BD7E03" w:rsidRDefault="00321962" w:rsidP="006F11D3">
      <w:pPr>
        <w:pStyle w:val="Rientrocorpodeltesto21"/>
        <w:spacing w:after="0" w:line="360" w:lineRule="auto"/>
        <w:ind w:left="0" w:firstLine="284"/>
        <w:jc w:val="both"/>
        <w:rPr>
          <w:rFonts w:ascii="Verdana" w:hAnsi="Verdana"/>
          <w:sz w:val="20"/>
          <w:szCs w:val="20"/>
        </w:rPr>
      </w:pPr>
      <w:r>
        <w:rPr>
          <w:rFonts w:ascii="Verdana" w:hAnsi="Verdana"/>
          <w:sz w:val="20"/>
          <w:szCs w:val="20"/>
        </w:rPr>
        <w:t>La Sezione ha già affermato in passato (</w:t>
      </w:r>
      <w:r w:rsidR="00BD7E03">
        <w:rPr>
          <w:rFonts w:ascii="Verdana" w:hAnsi="Verdana"/>
          <w:sz w:val="20"/>
          <w:szCs w:val="20"/>
        </w:rPr>
        <w:t xml:space="preserve">cfr. </w:t>
      </w:r>
      <w:r>
        <w:rPr>
          <w:rFonts w:ascii="Verdana" w:hAnsi="Verdana"/>
          <w:sz w:val="20"/>
          <w:szCs w:val="20"/>
        </w:rPr>
        <w:t>delibera n.</w:t>
      </w:r>
      <w:r w:rsidR="00AF0072">
        <w:rPr>
          <w:rFonts w:ascii="Verdana" w:hAnsi="Verdana"/>
          <w:sz w:val="20"/>
          <w:szCs w:val="20"/>
        </w:rPr>
        <w:t xml:space="preserve"> </w:t>
      </w:r>
      <w:r>
        <w:rPr>
          <w:rFonts w:ascii="Verdana" w:hAnsi="Verdana"/>
          <w:sz w:val="20"/>
          <w:szCs w:val="20"/>
        </w:rPr>
        <w:t>190/2011/PAR) che per il personale agricolo-forestale, trovano a</w:t>
      </w:r>
      <w:r w:rsidR="00BD7E03">
        <w:rPr>
          <w:rFonts w:ascii="Verdana" w:hAnsi="Verdana"/>
          <w:sz w:val="20"/>
          <w:szCs w:val="20"/>
        </w:rPr>
        <w:t xml:space="preserve">pplicazione le disposizioni in </w:t>
      </w:r>
      <w:r>
        <w:rPr>
          <w:rFonts w:ascii="Verdana" w:hAnsi="Verdana"/>
          <w:sz w:val="20"/>
          <w:szCs w:val="20"/>
        </w:rPr>
        <w:t>o</w:t>
      </w:r>
      <w:r w:rsidR="00BD7E03">
        <w:rPr>
          <w:rFonts w:ascii="Verdana" w:hAnsi="Verdana"/>
          <w:sz w:val="20"/>
          <w:szCs w:val="20"/>
        </w:rPr>
        <w:t>r</w:t>
      </w:r>
      <w:r>
        <w:rPr>
          <w:rFonts w:ascii="Verdana" w:hAnsi="Verdana"/>
          <w:sz w:val="20"/>
          <w:szCs w:val="20"/>
        </w:rPr>
        <w:t>dine al trattamento economico di cui all’art.</w:t>
      </w:r>
      <w:r w:rsidR="00AF0072">
        <w:rPr>
          <w:rFonts w:ascii="Verdana" w:hAnsi="Verdana"/>
          <w:sz w:val="20"/>
          <w:szCs w:val="20"/>
        </w:rPr>
        <w:t xml:space="preserve"> </w:t>
      </w:r>
      <w:r>
        <w:rPr>
          <w:rFonts w:ascii="Verdana" w:hAnsi="Verdana"/>
          <w:sz w:val="20"/>
          <w:szCs w:val="20"/>
        </w:rPr>
        <w:t>9 del d.lgs.</w:t>
      </w:r>
      <w:r w:rsidR="00AF0072">
        <w:rPr>
          <w:rFonts w:ascii="Verdana" w:hAnsi="Verdana"/>
          <w:sz w:val="20"/>
          <w:szCs w:val="20"/>
        </w:rPr>
        <w:t xml:space="preserve"> n. </w:t>
      </w:r>
      <w:r>
        <w:rPr>
          <w:rFonts w:ascii="Verdana" w:hAnsi="Verdana"/>
          <w:sz w:val="20"/>
          <w:szCs w:val="20"/>
        </w:rPr>
        <w:t>78/2010. Ciò in ragione del fatto che non sussistono motivazioni tali da esonerare tale tipologia di personale, ancorché appartenente a s</w:t>
      </w:r>
      <w:r w:rsidR="00BD7E03">
        <w:rPr>
          <w:rFonts w:ascii="Verdana" w:hAnsi="Verdana"/>
          <w:sz w:val="20"/>
          <w:szCs w:val="20"/>
        </w:rPr>
        <w:t>pecifiche categorie destinatarie di</w:t>
      </w:r>
      <w:r>
        <w:rPr>
          <w:rFonts w:ascii="Verdana" w:hAnsi="Verdana"/>
          <w:sz w:val="20"/>
          <w:szCs w:val="20"/>
        </w:rPr>
        <w:t xml:space="preserve"> appositi contratti collettivi, dall’obbligo di riduzione della spesa di personale delle amministrazioni pubbliche. Si ricorda, infatti, che il personale di cui al CCN</w:t>
      </w:r>
      <w:r w:rsidR="00BD7E03">
        <w:rPr>
          <w:rFonts w:ascii="Verdana" w:hAnsi="Verdana"/>
          <w:sz w:val="20"/>
          <w:szCs w:val="20"/>
        </w:rPr>
        <w:t>L</w:t>
      </w:r>
      <w:r>
        <w:rPr>
          <w:rFonts w:ascii="Verdana" w:hAnsi="Verdana"/>
          <w:sz w:val="20"/>
          <w:szCs w:val="20"/>
        </w:rPr>
        <w:t xml:space="preserve"> citato lavora soltanto per amministrazioni pubbliche, siano esse province, comuni o comunità montane. </w:t>
      </w:r>
      <w:r w:rsidR="00BD7E03">
        <w:rPr>
          <w:rFonts w:ascii="Verdana" w:hAnsi="Verdana"/>
          <w:sz w:val="20"/>
          <w:szCs w:val="20"/>
        </w:rPr>
        <w:t>Del resto, nella stessa richiesta di parere si afferma che tale personale è “dipendente” dell’amministrazione richiedente.</w:t>
      </w:r>
      <w:r w:rsidR="006F11D3">
        <w:rPr>
          <w:rFonts w:ascii="Verdana" w:hAnsi="Verdana"/>
          <w:sz w:val="20"/>
          <w:szCs w:val="20"/>
        </w:rPr>
        <w:t xml:space="preserve"> </w:t>
      </w:r>
    </w:p>
    <w:p w:rsidR="00E951F1" w:rsidRPr="00E951F1" w:rsidRDefault="00E951F1" w:rsidP="00D153C3">
      <w:pPr>
        <w:spacing w:after="0" w:line="360" w:lineRule="auto"/>
        <w:jc w:val="both"/>
        <w:rPr>
          <w:rFonts w:ascii="Verdana" w:eastAsia="Times New Roman" w:hAnsi="Verdana" w:cs="Times New Roman"/>
          <w:sz w:val="20"/>
          <w:szCs w:val="20"/>
          <w:lang w:eastAsia="it-IT"/>
        </w:rPr>
      </w:pPr>
    </w:p>
    <w:p w:rsidR="00E951F1" w:rsidRPr="00E951F1" w:rsidRDefault="00E951F1" w:rsidP="00E951F1">
      <w:pPr>
        <w:spacing w:after="0" w:line="360" w:lineRule="auto"/>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 *</w:t>
      </w:r>
    </w:p>
    <w:p w:rsidR="00E951F1" w:rsidRPr="00E951F1" w:rsidRDefault="00E951F1" w:rsidP="00E951F1">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Nelle sopra esposte considerazioni è il parere della Corte dei conti-Sezione regionale di controllo per la Toscana, in relazione alla richiesta formulata dal </w:t>
      </w:r>
      <w:r w:rsidR="00896D03">
        <w:rPr>
          <w:rFonts w:ascii="Verdana" w:eastAsia="Times New Roman" w:hAnsi="Verdana" w:cs="Times New Roman"/>
          <w:sz w:val="20"/>
          <w:szCs w:val="20"/>
          <w:lang w:eastAsia="it-IT"/>
        </w:rPr>
        <w:t xml:space="preserve">Presidente </w:t>
      </w:r>
      <w:r w:rsidR="006F11D3">
        <w:rPr>
          <w:rFonts w:ascii="Verdana" w:eastAsia="Times New Roman" w:hAnsi="Verdana" w:cs="Times New Roman"/>
          <w:sz w:val="20"/>
          <w:szCs w:val="20"/>
          <w:lang w:eastAsia="it-IT"/>
        </w:rPr>
        <w:t xml:space="preserve">dell’Unione dei Comuni di Valdarno e </w:t>
      </w:r>
      <w:proofErr w:type="spellStart"/>
      <w:r w:rsidR="006F11D3">
        <w:rPr>
          <w:rFonts w:ascii="Verdana" w:eastAsia="Times New Roman" w:hAnsi="Verdana" w:cs="Times New Roman"/>
          <w:sz w:val="20"/>
          <w:szCs w:val="20"/>
          <w:lang w:eastAsia="it-IT"/>
        </w:rPr>
        <w:t>Valdisieve</w:t>
      </w:r>
      <w:proofErr w:type="spellEnd"/>
      <w:r w:rsidR="006F11D3">
        <w:rPr>
          <w:rFonts w:ascii="Verdana" w:eastAsia="Times New Roman" w:hAnsi="Verdana" w:cs="Times New Roman"/>
          <w:sz w:val="20"/>
          <w:szCs w:val="20"/>
          <w:lang w:eastAsia="it-IT"/>
        </w:rPr>
        <w:t>.</w:t>
      </w:r>
    </w:p>
    <w:p w:rsidR="00E951F1" w:rsidRPr="00E951F1" w:rsidRDefault="00E951F1" w:rsidP="00E951F1">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Copia della presente deliberazione viene trasmessa al Presidente del Consiglio delle autonomie locali della Regione Toscana</w:t>
      </w:r>
      <w:r w:rsidR="00AF0072">
        <w:rPr>
          <w:rFonts w:ascii="Verdana" w:eastAsia="Times New Roman" w:hAnsi="Verdana" w:cs="Times New Roman"/>
          <w:sz w:val="20"/>
          <w:szCs w:val="20"/>
          <w:lang w:eastAsia="it-IT"/>
        </w:rPr>
        <w:t xml:space="preserve"> e, per conoscenza, al Presidente dell’Unione dei Comuni di Valdarno e </w:t>
      </w:r>
      <w:r w:rsidR="007425DA">
        <w:rPr>
          <w:rFonts w:ascii="Verdana" w:eastAsia="Times New Roman" w:hAnsi="Verdana" w:cs="Times New Roman"/>
          <w:sz w:val="20"/>
          <w:szCs w:val="20"/>
          <w:lang w:eastAsia="it-IT"/>
        </w:rPr>
        <w:t>V</w:t>
      </w:r>
      <w:r w:rsidR="00AF0072">
        <w:rPr>
          <w:rFonts w:ascii="Verdana" w:eastAsia="Times New Roman" w:hAnsi="Verdana" w:cs="Times New Roman"/>
          <w:sz w:val="20"/>
          <w:szCs w:val="20"/>
          <w:lang w:eastAsia="it-IT"/>
        </w:rPr>
        <w:t>aldisieve.</w:t>
      </w:r>
    </w:p>
    <w:p w:rsidR="00E951F1" w:rsidRPr="00E951F1" w:rsidRDefault="00E951F1" w:rsidP="00E951F1">
      <w:pPr>
        <w:spacing w:after="0" w:line="360" w:lineRule="auto"/>
        <w:jc w:val="both"/>
        <w:rPr>
          <w:rFonts w:ascii="Verdana" w:eastAsia="Times New Roman" w:hAnsi="Verdana" w:cs="Times New Roman"/>
          <w:sz w:val="20"/>
          <w:szCs w:val="20"/>
          <w:lang w:eastAsia="it-IT"/>
        </w:rPr>
      </w:pPr>
    </w:p>
    <w:p w:rsidR="00E951F1" w:rsidRPr="00E951F1" w:rsidRDefault="00E951F1" w:rsidP="00E951F1">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Firenze</w:t>
      </w:r>
      <w:r w:rsidR="001D5570">
        <w:rPr>
          <w:rFonts w:ascii="Verdana" w:eastAsia="Times New Roman" w:hAnsi="Verdana" w:cs="Times New Roman"/>
          <w:sz w:val="20"/>
          <w:szCs w:val="20"/>
          <w:lang w:eastAsia="it-IT"/>
        </w:rPr>
        <w:t>, 15 gennaio 2015</w:t>
      </w:r>
    </w:p>
    <w:p w:rsidR="00E951F1" w:rsidRPr="00E951F1" w:rsidRDefault="00E951F1" w:rsidP="00E951F1">
      <w:pPr>
        <w:spacing w:after="0" w:line="360" w:lineRule="auto"/>
        <w:ind w:firstLine="708"/>
        <w:jc w:val="both"/>
        <w:rPr>
          <w:rFonts w:ascii="Verdana" w:eastAsia="Times New Roman" w:hAnsi="Verdana" w:cs="Times New Roman"/>
          <w:sz w:val="20"/>
          <w:szCs w:val="20"/>
          <w:lang w:eastAsia="it-IT"/>
        </w:rPr>
      </w:pPr>
    </w:p>
    <w:p w:rsidR="00E951F1" w:rsidRPr="00E951F1" w:rsidRDefault="004359C5" w:rsidP="00E951F1">
      <w:pPr>
        <w:spacing w:after="0" w:line="240" w:lineRule="auto"/>
        <w:ind w:left="568" w:firstLine="28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L’estensore</w:t>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896D03">
        <w:rPr>
          <w:rFonts w:ascii="Verdana" w:eastAsia="Times New Roman" w:hAnsi="Verdana" w:cs="Times New Roman"/>
          <w:sz w:val="20"/>
          <w:szCs w:val="20"/>
          <w:lang w:eastAsia="it-IT"/>
        </w:rPr>
        <w:tab/>
      </w:r>
      <w:r w:rsidR="00896D03">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 xml:space="preserve">   </w:t>
      </w:r>
      <w:r w:rsidR="00BF37DC">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 xml:space="preserve"> </w:t>
      </w:r>
      <w:r w:rsidR="00E951F1" w:rsidRPr="00E951F1">
        <w:rPr>
          <w:rFonts w:ascii="Verdana" w:eastAsia="Times New Roman" w:hAnsi="Verdana" w:cs="Times New Roman"/>
          <w:sz w:val="20"/>
          <w:szCs w:val="20"/>
          <w:lang w:eastAsia="it-IT"/>
        </w:rPr>
        <w:t>Il presidente</w:t>
      </w:r>
    </w:p>
    <w:p w:rsidR="00E951F1" w:rsidRPr="00E951F1" w:rsidRDefault="00BF37DC" w:rsidP="00BF37DC">
      <w:pPr>
        <w:spacing w:after="0" w:line="24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f.to </w:t>
      </w:r>
      <w:r w:rsidR="00896D03">
        <w:rPr>
          <w:rFonts w:ascii="Verdana" w:eastAsia="Times New Roman" w:hAnsi="Verdana" w:cs="Times New Roman"/>
          <w:sz w:val="20"/>
          <w:szCs w:val="20"/>
          <w:lang w:eastAsia="it-IT"/>
        </w:rPr>
        <w:t>Laura d’Ambrosio</w:t>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4359C5">
        <w:rPr>
          <w:rFonts w:ascii="Verdana" w:eastAsia="Times New Roman" w:hAnsi="Verdana" w:cs="Times New Roman"/>
          <w:sz w:val="20"/>
          <w:szCs w:val="20"/>
          <w:lang w:eastAsia="it-IT"/>
        </w:rPr>
        <w:tab/>
      </w:r>
      <w:r w:rsidR="004359C5">
        <w:rPr>
          <w:rFonts w:ascii="Verdana" w:eastAsia="Times New Roman" w:hAnsi="Verdana" w:cs="Times New Roman"/>
          <w:sz w:val="20"/>
          <w:szCs w:val="20"/>
          <w:lang w:eastAsia="it-IT"/>
        </w:rPr>
        <w:tab/>
      </w:r>
      <w:r w:rsidR="00896D03">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 xml:space="preserve">f.to </w:t>
      </w:r>
      <w:r w:rsidR="00E951F1" w:rsidRPr="00E951F1">
        <w:rPr>
          <w:rFonts w:ascii="Verdana" w:eastAsia="Times New Roman" w:hAnsi="Verdana" w:cs="Times New Roman"/>
          <w:sz w:val="20"/>
          <w:szCs w:val="20"/>
          <w:lang w:eastAsia="it-IT"/>
        </w:rPr>
        <w:t>Gaetano D’Auria</w:t>
      </w:r>
    </w:p>
    <w:p w:rsidR="00E951F1" w:rsidRPr="00E951F1" w:rsidRDefault="00E951F1" w:rsidP="00E951F1">
      <w:pPr>
        <w:spacing w:after="0" w:line="240" w:lineRule="auto"/>
        <w:ind w:firstLine="709"/>
        <w:jc w:val="both"/>
        <w:rPr>
          <w:rFonts w:ascii="Verdana" w:eastAsia="Times New Roman" w:hAnsi="Verdana" w:cs="Times New Roman"/>
          <w:sz w:val="20"/>
          <w:szCs w:val="20"/>
          <w:lang w:eastAsia="it-IT"/>
        </w:rPr>
      </w:pPr>
    </w:p>
    <w:p w:rsidR="00E951F1" w:rsidRPr="00E951F1" w:rsidRDefault="00E951F1" w:rsidP="00E951F1">
      <w:pPr>
        <w:spacing w:after="0" w:line="240" w:lineRule="auto"/>
        <w:ind w:firstLine="709"/>
        <w:jc w:val="both"/>
        <w:rPr>
          <w:rFonts w:ascii="Verdana" w:eastAsia="Times New Roman" w:hAnsi="Verdana" w:cs="Times New Roman"/>
          <w:sz w:val="20"/>
          <w:szCs w:val="20"/>
          <w:lang w:eastAsia="it-IT"/>
        </w:rPr>
      </w:pPr>
    </w:p>
    <w:p w:rsidR="00E951F1" w:rsidRDefault="00E951F1" w:rsidP="00E951F1">
      <w:pPr>
        <w:spacing w:after="0" w:line="360" w:lineRule="auto"/>
        <w:ind w:firstLine="709"/>
        <w:jc w:val="both"/>
        <w:rPr>
          <w:rFonts w:ascii="Verdana" w:eastAsia="Times New Roman" w:hAnsi="Verdana" w:cs="Times New Roman"/>
          <w:sz w:val="20"/>
          <w:szCs w:val="20"/>
          <w:lang w:eastAsia="it-IT"/>
        </w:rPr>
      </w:pPr>
    </w:p>
    <w:p w:rsidR="00594192" w:rsidRPr="00E951F1" w:rsidRDefault="00594192" w:rsidP="00E951F1">
      <w:pPr>
        <w:spacing w:after="0" w:line="360" w:lineRule="auto"/>
        <w:ind w:firstLine="709"/>
        <w:jc w:val="both"/>
        <w:rPr>
          <w:rFonts w:ascii="Verdana" w:eastAsia="Times New Roman" w:hAnsi="Verdana" w:cs="Times New Roman"/>
          <w:sz w:val="20"/>
          <w:szCs w:val="20"/>
          <w:lang w:eastAsia="it-IT"/>
        </w:rPr>
      </w:pPr>
    </w:p>
    <w:p w:rsidR="00E951F1" w:rsidRPr="00E951F1" w:rsidRDefault="001D5570" w:rsidP="00E951F1">
      <w:pPr>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Depositata in Segreteria il</w:t>
      </w:r>
      <w:r w:rsidR="008450E9">
        <w:rPr>
          <w:rFonts w:ascii="Verdana" w:eastAsia="Times New Roman" w:hAnsi="Verdana" w:cs="Times New Roman"/>
          <w:sz w:val="20"/>
          <w:szCs w:val="20"/>
          <w:lang w:eastAsia="it-IT"/>
        </w:rPr>
        <w:t xml:space="preserve"> </w:t>
      </w:r>
      <w:r w:rsidR="00E317CF">
        <w:rPr>
          <w:rFonts w:ascii="Verdana" w:eastAsia="Times New Roman" w:hAnsi="Verdana" w:cs="Times New Roman"/>
          <w:sz w:val="20"/>
          <w:szCs w:val="20"/>
          <w:lang w:eastAsia="it-IT"/>
        </w:rPr>
        <w:t>21 gennaio 2015</w:t>
      </w:r>
      <w:bookmarkStart w:id="0" w:name="_GoBack"/>
      <w:bookmarkEnd w:id="0"/>
    </w:p>
    <w:p w:rsidR="00E951F1" w:rsidRPr="00E951F1" w:rsidRDefault="00E951F1" w:rsidP="00E951F1">
      <w:pPr>
        <w:spacing w:after="0" w:line="240" w:lineRule="auto"/>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Il funzionario preposto al Servizio di supporto </w:t>
      </w:r>
    </w:p>
    <w:p w:rsidR="00E951F1" w:rsidRPr="00E951F1" w:rsidRDefault="00BF37DC" w:rsidP="00E951F1">
      <w:pPr>
        <w:spacing w:after="0" w:line="240" w:lineRule="auto"/>
        <w:ind w:left="852" w:firstLine="28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f.to </w:t>
      </w:r>
      <w:r w:rsidR="00E951F1" w:rsidRPr="00E951F1">
        <w:rPr>
          <w:rFonts w:ascii="Verdana" w:eastAsia="Times New Roman" w:hAnsi="Verdana" w:cs="Times New Roman"/>
          <w:sz w:val="20"/>
          <w:szCs w:val="20"/>
          <w:lang w:eastAsia="it-IT"/>
        </w:rPr>
        <w:t>Claudio F</w:t>
      </w:r>
      <w:r w:rsidR="00594192">
        <w:rPr>
          <w:rFonts w:ascii="Verdana" w:eastAsia="Times New Roman" w:hAnsi="Verdana" w:cs="Times New Roman"/>
          <w:sz w:val="20"/>
          <w:szCs w:val="20"/>
          <w:lang w:eastAsia="it-IT"/>
        </w:rPr>
        <w:t>elli</w:t>
      </w:r>
    </w:p>
    <w:p w:rsidR="0021555E" w:rsidRDefault="0021555E"/>
    <w:sectPr w:rsidR="0021555E" w:rsidSect="004359C5">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1CB" w:rsidRDefault="000201CB" w:rsidP="00321962">
      <w:pPr>
        <w:spacing w:after="0" w:line="240" w:lineRule="auto"/>
      </w:pPr>
      <w:r>
        <w:separator/>
      </w:r>
    </w:p>
  </w:endnote>
  <w:endnote w:type="continuationSeparator" w:id="0">
    <w:p w:rsidR="000201CB" w:rsidRDefault="000201CB" w:rsidP="0032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020621"/>
      <w:docPartObj>
        <w:docPartGallery w:val="Page Numbers (Bottom of Page)"/>
        <w:docPartUnique/>
      </w:docPartObj>
    </w:sdtPr>
    <w:sdtEndPr>
      <w:rPr>
        <w:rFonts w:ascii="Verdana" w:hAnsi="Verdana"/>
        <w:sz w:val="20"/>
        <w:szCs w:val="20"/>
      </w:rPr>
    </w:sdtEndPr>
    <w:sdtContent>
      <w:p w:rsidR="004359C5" w:rsidRPr="004359C5" w:rsidRDefault="004359C5">
        <w:pPr>
          <w:pStyle w:val="Pidipagina"/>
          <w:jc w:val="center"/>
          <w:rPr>
            <w:rFonts w:ascii="Verdana" w:hAnsi="Verdana"/>
            <w:sz w:val="20"/>
            <w:szCs w:val="20"/>
          </w:rPr>
        </w:pPr>
        <w:r w:rsidRPr="004359C5">
          <w:rPr>
            <w:rFonts w:ascii="Verdana" w:hAnsi="Verdana"/>
            <w:sz w:val="20"/>
            <w:szCs w:val="20"/>
          </w:rPr>
          <w:fldChar w:fldCharType="begin"/>
        </w:r>
        <w:r w:rsidRPr="004359C5">
          <w:rPr>
            <w:rFonts w:ascii="Verdana" w:hAnsi="Verdana"/>
            <w:sz w:val="20"/>
            <w:szCs w:val="20"/>
          </w:rPr>
          <w:instrText>PAGE   \* MERGEFORMAT</w:instrText>
        </w:r>
        <w:r w:rsidRPr="004359C5">
          <w:rPr>
            <w:rFonts w:ascii="Verdana" w:hAnsi="Verdana"/>
            <w:sz w:val="20"/>
            <w:szCs w:val="20"/>
          </w:rPr>
          <w:fldChar w:fldCharType="separate"/>
        </w:r>
        <w:r w:rsidR="00E317CF">
          <w:rPr>
            <w:rFonts w:ascii="Verdana" w:hAnsi="Verdana"/>
            <w:noProof/>
            <w:sz w:val="20"/>
            <w:szCs w:val="20"/>
          </w:rPr>
          <w:t>3</w:t>
        </w:r>
        <w:r w:rsidRPr="004359C5">
          <w:rPr>
            <w:rFonts w:ascii="Verdana" w:hAnsi="Verdana"/>
            <w:sz w:val="20"/>
            <w:szCs w:val="20"/>
          </w:rPr>
          <w:fldChar w:fldCharType="end"/>
        </w:r>
      </w:p>
    </w:sdtContent>
  </w:sdt>
  <w:p w:rsidR="004359C5" w:rsidRDefault="004359C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1CB" w:rsidRDefault="000201CB" w:rsidP="00321962">
      <w:pPr>
        <w:spacing w:after="0" w:line="240" w:lineRule="auto"/>
      </w:pPr>
      <w:r>
        <w:separator/>
      </w:r>
    </w:p>
  </w:footnote>
  <w:footnote w:type="continuationSeparator" w:id="0">
    <w:p w:rsidR="000201CB" w:rsidRDefault="000201CB" w:rsidP="00321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235BB"/>
    <w:rsid w:val="00002B9F"/>
    <w:rsid w:val="000201CB"/>
    <w:rsid w:val="000207FE"/>
    <w:rsid w:val="00095CBC"/>
    <w:rsid w:val="000A0A19"/>
    <w:rsid w:val="00133C21"/>
    <w:rsid w:val="00151C23"/>
    <w:rsid w:val="00185072"/>
    <w:rsid w:val="001D5570"/>
    <w:rsid w:val="0021555E"/>
    <w:rsid w:val="0022753C"/>
    <w:rsid w:val="002410A2"/>
    <w:rsid w:val="002774F7"/>
    <w:rsid w:val="00285A16"/>
    <w:rsid w:val="002A01F8"/>
    <w:rsid w:val="002A78FA"/>
    <w:rsid w:val="00321962"/>
    <w:rsid w:val="003B1146"/>
    <w:rsid w:val="003F7E2B"/>
    <w:rsid w:val="00404C83"/>
    <w:rsid w:val="00411D4C"/>
    <w:rsid w:val="004359C5"/>
    <w:rsid w:val="00470956"/>
    <w:rsid w:val="00484C5C"/>
    <w:rsid w:val="00545331"/>
    <w:rsid w:val="00594192"/>
    <w:rsid w:val="00606BDE"/>
    <w:rsid w:val="006601CF"/>
    <w:rsid w:val="006A21D3"/>
    <w:rsid w:val="006C2A7A"/>
    <w:rsid w:val="006F11D3"/>
    <w:rsid w:val="007235BB"/>
    <w:rsid w:val="007360B7"/>
    <w:rsid w:val="007425DA"/>
    <w:rsid w:val="007C69B5"/>
    <w:rsid w:val="007F4DF1"/>
    <w:rsid w:val="008450E9"/>
    <w:rsid w:val="008515AE"/>
    <w:rsid w:val="00896D03"/>
    <w:rsid w:val="008C0D1B"/>
    <w:rsid w:val="008E080E"/>
    <w:rsid w:val="00A14878"/>
    <w:rsid w:val="00A6556B"/>
    <w:rsid w:val="00A866CF"/>
    <w:rsid w:val="00AF0072"/>
    <w:rsid w:val="00AF62B0"/>
    <w:rsid w:val="00BD7E03"/>
    <w:rsid w:val="00BF22BF"/>
    <w:rsid w:val="00BF37DC"/>
    <w:rsid w:val="00C31908"/>
    <w:rsid w:val="00C514E7"/>
    <w:rsid w:val="00C75BB8"/>
    <w:rsid w:val="00C75BD3"/>
    <w:rsid w:val="00D11518"/>
    <w:rsid w:val="00D153C3"/>
    <w:rsid w:val="00D47F3B"/>
    <w:rsid w:val="00D834E2"/>
    <w:rsid w:val="00D900D4"/>
    <w:rsid w:val="00D968D7"/>
    <w:rsid w:val="00DC392E"/>
    <w:rsid w:val="00DD1F0E"/>
    <w:rsid w:val="00DE768C"/>
    <w:rsid w:val="00E317CF"/>
    <w:rsid w:val="00E951F1"/>
    <w:rsid w:val="00EB3829"/>
    <w:rsid w:val="00F400F1"/>
    <w:rsid w:val="00FB2E50"/>
    <w:rsid w:val="00FC2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38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rsid w:val="00321962"/>
    <w:rPr>
      <w:rFonts w:cs="Times New Roman"/>
      <w:vertAlign w:val="superscript"/>
    </w:rPr>
  </w:style>
  <w:style w:type="character" w:styleId="Rimandonotaapidipagina">
    <w:name w:val="footnote reference"/>
    <w:rsid w:val="00321962"/>
    <w:rPr>
      <w:vertAlign w:val="superscript"/>
    </w:rPr>
  </w:style>
  <w:style w:type="paragraph" w:customStyle="1" w:styleId="Rientrocorpodeltesto21">
    <w:name w:val="Rientro corpo del testo 21"/>
    <w:basedOn w:val="Normale"/>
    <w:rsid w:val="00321962"/>
    <w:pPr>
      <w:suppressAutoHyphens/>
      <w:spacing w:after="120" w:line="480" w:lineRule="auto"/>
      <w:ind w:left="283"/>
    </w:pPr>
    <w:rPr>
      <w:rFonts w:ascii="Times New Roman" w:eastAsia="Times New Roman" w:hAnsi="Times New Roman" w:cs="Times New Roman"/>
      <w:sz w:val="24"/>
      <w:szCs w:val="24"/>
      <w:lang w:eastAsia="ar-SA"/>
    </w:rPr>
  </w:style>
  <w:style w:type="paragraph" w:styleId="Testonotaapidipagina">
    <w:name w:val="footnote text"/>
    <w:basedOn w:val="Normale"/>
    <w:link w:val="TestonotaapidipaginaCarattere"/>
    <w:rsid w:val="00321962"/>
    <w:pPr>
      <w:suppressLineNumbers/>
      <w:suppressAutoHyphens/>
      <w:spacing w:after="0" w:line="240" w:lineRule="auto"/>
      <w:ind w:left="283" w:hanging="283"/>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rsid w:val="00321962"/>
    <w:rPr>
      <w:rFonts w:ascii="Times New Roman" w:eastAsia="Times New Roman" w:hAnsi="Times New Roman" w:cs="Times New Roman"/>
      <w:sz w:val="20"/>
      <w:szCs w:val="20"/>
      <w:lang w:eastAsia="ar-SA"/>
    </w:rPr>
  </w:style>
  <w:style w:type="paragraph" w:styleId="Intestazione">
    <w:name w:val="header"/>
    <w:basedOn w:val="Normale"/>
    <w:link w:val="IntestazioneCarattere"/>
    <w:uiPriority w:val="99"/>
    <w:unhideWhenUsed/>
    <w:rsid w:val="004359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59C5"/>
  </w:style>
  <w:style w:type="paragraph" w:styleId="Pidipagina">
    <w:name w:val="footer"/>
    <w:basedOn w:val="Normale"/>
    <w:link w:val="PidipaginaCarattere"/>
    <w:uiPriority w:val="99"/>
    <w:unhideWhenUsed/>
    <w:rsid w:val="004359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5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69BA-F05F-49F5-8B60-9D40AA02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848</Words>
  <Characters>4838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mfedini</cp:lastModifiedBy>
  <cp:revision>22</cp:revision>
  <cp:lastPrinted>2015-01-15T12:16:00Z</cp:lastPrinted>
  <dcterms:created xsi:type="dcterms:W3CDTF">2014-12-20T16:03:00Z</dcterms:created>
  <dcterms:modified xsi:type="dcterms:W3CDTF">2015-01-21T09:33:00Z</dcterms:modified>
</cp:coreProperties>
</file>